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baseline"/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0"/>
          <w:szCs w:val="40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0"/>
          <w:szCs w:val="40"/>
          <w:shd w:val="clear" w:color="auto" w:fill="FFFFFF"/>
          <w:lang w:val="en-US" w:eastAsia="zh-CN" w:bidi="ar-SA"/>
        </w:rPr>
        <w:t>“中银杯”第十一届天津青年创青春大赛竞赛规则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firstLine="636" w:firstLineChars="200"/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一、大赛组织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firstLine="636" w:firstLineChars="200"/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(一)参赛者报名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firstLine="636" w:firstLineChars="200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1.参赛者须通过登录“中银杯”第十一届天津青年创青春大赛报名网站(www.tianjincqc.com)注册报名，并同步在全国“创青春”网站(cqc.yeeol.com)进行注册。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firstLine="636" w:firstLineChars="200"/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2.参赛者在报名表中所选择的“报名区”,为参赛者公司注册地或推荐报名大赛的团组织所在区。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firstLine="636" w:firstLineChars="200"/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(二)评审委员会的产生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firstLine="636" w:firstLineChars="200"/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1.评审委员会由投资人、专家学者、创业导师组成。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firstLine="636" w:firstLineChars="200"/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2.投资人由大赛组织方定向邀请及各合作机构推荐。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firstLine="636" w:firstLineChars="200"/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3.专家学者由大赛组织方定向邀请。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firstLine="636" w:firstLineChars="200"/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4.创业导师由各合作创业服务机构和各区团组织推荐，需经大赛组织方审核确认。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firstLine="636" w:firstLineChars="200"/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(三)大赛评委的产生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firstLine="636" w:firstLineChars="200"/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每场比赛评委人数须为单数。从投资人、专家学者、创业导师中产生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firstLine="636" w:firstLineChars="200"/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(四)大赛组织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firstLine="636" w:firstLineChars="200"/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1.大赛分为初赛(审查)、复赛、决赛(金银争霸赛)三个环节。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firstLine="636" w:firstLineChars="200"/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2.按照大赛组织方分配名额、评审分数排名晋级，根据全国大赛组委会分配名额，选拔相应数量的项目参加国赛。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firstLine="636" w:firstLineChars="200"/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3.比赛结果将在大赛结束后公布，由大赛组织方负责最终解释。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firstLine="636" w:firstLineChars="200"/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二、评审标准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560" w:lineRule="exact"/>
        <w:ind w:firstLine="636" w:firstLineChars="200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(一)创新组评分表</w:t>
      </w:r>
    </w:p>
    <w:tbl>
      <w:tblPr>
        <w:tblStyle w:val="5"/>
        <w:tblW w:w="9346" w:type="dxa"/>
        <w:tblInd w:w="1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5663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  <w:t>评分项目</w:t>
            </w:r>
          </w:p>
        </w:tc>
        <w:tc>
          <w:tcPr>
            <w:tcW w:w="56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  <w:t>主要考察指标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  <w:t>评分比重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2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  <w:t>产品(服务)</w:t>
            </w:r>
          </w:p>
        </w:tc>
        <w:tc>
          <w:tcPr>
            <w:tcW w:w="5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  <w:t>此项主要考察：原创设计、视角独特、主题鲜明、商业价值、社会需求、技术含量、发展态势预测。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  <w:t>25%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  <w:t>团队</w:t>
            </w:r>
          </w:p>
        </w:tc>
        <w:tc>
          <w:tcPr>
            <w:tcW w:w="5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  <w:t>此项主要考察：创始团队完整性、互补性、资历背景及资源整合能力。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  <w:t>30%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  <w:t>商业模式</w:t>
            </w:r>
          </w:p>
        </w:tc>
        <w:tc>
          <w:tcPr>
            <w:tcW w:w="5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  <w:t>此项主要考察：商业模式设计合理性及可行性。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  <w:t>15%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2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  <w:t>市场及竞争力</w:t>
            </w:r>
          </w:p>
        </w:tc>
        <w:tc>
          <w:tcPr>
            <w:tcW w:w="5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  <w:t>此项主要考察：市场前景乐观、适于自主创业、市场描述、市场变化趋势及潜力、目标市场及客户定位、市场调查分析。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  <w:t>15%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2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  <w:t>计划书</w:t>
            </w:r>
          </w:p>
        </w:tc>
        <w:tc>
          <w:tcPr>
            <w:tcW w:w="5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  <w:t>此项主要考察；简明扼要、描述准确、突出 项目点、材料详实、文字表达清楚、选题与 创意紧密结合、新颖独特。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  <w:t>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  <w:t>其他</w:t>
            </w:r>
          </w:p>
        </w:tc>
        <w:tc>
          <w:tcPr>
            <w:tcW w:w="5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  <w:t>此项主要考察：社会效益、带动就业能力。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  <w:t>5%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60" w:lineRule="exact"/>
        <w:ind w:firstLine="636" w:firstLineChars="200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(二)初创组、成长组评分表</w:t>
      </w:r>
    </w:p>
    <w:tbl>
      <w:tblPr>
        <w:tblStyle w:val="5"/>
        <w:tblW w:w="9346" w:type="dxa"/>
        <w:tblInd w:w="1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5670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  <w:t>评分项目</w:t>
            </w:r>
          </w:p>
        </w:tc>
        <w:tc>
          <w:tcPr>
            <w:tcW w:w="56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  <w:t>主要考察指标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  <w:t>评分比重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21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  <w:t>产品服务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  <w:t>项目定位、产品功能、目标用户、商业模式等准确性、可行性、创新性。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  <w:t>30%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21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  <w:t>市场前景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  <w:t>产业背景、市场需求、竞争策略、发展前景等前瞻性、成长性、发展性。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  <w:t>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21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  <w:t>财务运营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  <w:t>融资情况、盈利模式、财务管理、风险规避等稳定性、合理性、持续性。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  <w:t>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21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  <w:t>团队素质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  <w:t>人员构成、资历背景、能力素质、团队合作等完整性、互补性、协同性。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  <w:t>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21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  <w:t>社会效益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  <w:t>创业带动就业、服务群众脱贫致富、支持社会公益等，针对性、公益性、导向性。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lang w:eastAsia="zh-CN"/>
              </w:rPr>
              <w:t>10%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240" w:lineRule="auto"/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firstLine="636" w:firstLineChars="200"/>
        <w:rPr>
          <w:rFonts w:hint="eastAsia" w:ascii="黑体" w:hAnsi="黑体" w:eastAsia="黑体" w:cs="黑体"/>
          <w:spacing w:val="-1"/>
          <w:sz w:val="32"/>
          <w:szCs w:val="32"/>
        </w:rPr>
      </w:pPr>
      <w:r>
        <w:rPr>
          <w:rFonts w:hint="eastAsia" w:ascii="黑体" w:hAnsi="黑体" w:eastAsia="黑体" w:cs="黑体"/>
          <w:spacing w:val="-1"/>
          <w:sz w:val="32"/>
          <w:szCs w:val="32"/>
        </w:rPr>
        <w:t>三、注意事项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firstLine="636" w:firstLineChars="200"/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(一)比赛期间，遵守比赛秩序，服从大赛组织方的安排，严格按照分组参加比赛。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firstLine="636" w:firstLineChars="200"/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(二)参赛企业、团队提交的参赛材料须真实完整、合法 有效，无虚假和侵犯第三方权益的内容；各区团组织应按照通知要求，对参赛项目和参赛人员进行严格把关。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firstLine="636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(三)参赛企业、团队可将产品进行演示，以取得最佳参赛效果。</w:t>
      </w:r>
    </w:p>
    <w:sectPr>
      <w:footerReference r:id="rId3" w:type="default"/>
      <w:pgSz w:w="11900" w:h="16840"/>
      <w:pgMar w:top="2098" w:right="1474" w:bottom="1984" w:left="1587" w:header="0" w:footer="80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7845"/>
      <w:rPr>
        <w:rFonts w:ascii="宋体" w:hAnsi="宋体" w:eastAsia="宋体" w:cs="宋体"/>
        <w:sz w:val="33"/>
        <w:szCs w:val="33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iNjFkODY3YjlhZGRhZmVhMzM2N2Q2ZTMwMjU5NjcifQ=="/>
  </w:docVars>
  <w:rsids>
    <w:rsidRoot w:val="0A8A5B6D"/>
    <w:rsid w:val="0053598D"/>
    <w:rsid w:val="00A15BFD"/>
    <w:rsid w:val="00C26B8D"/>
    <w:rsid w:val="00E47D1E"/>
    <w:rsid w:val="00E826C4"/>
    <w:rsid w:val="0A8A5B6D"/>
    <w:rsid w:val="0D2A42A8"/>
    <w:rsid w:val="49FB7A57"/>
    <w:rsid w:val="6B35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qFormat/>
    <w:uiPriority w:val="0"/>
    <w:rPr>
      <w:rFonts w:ascii="仿宋" w:hAnsi="仿宋" w:eastAsia="仿宋" w:cs="仿宋"/>
      <w:sz w:val="34"/>
      <w:szCs w:val="34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basedOn w:val="6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0">
    <w:name w:val="页脚 字符"/>
    <w:basedOn w:val="6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1">
    <w:name w:val="正文文本 字符"/>
    <w:basedOn w:val="6"/>
    <w:link w:val="2"/>
    <w:semiHidden/>
    <w:qFormat/>
    <w:uiPriority w:val="0"/>
    <w:rPr>
      <w:rFonts w:ascii="仿宋" w:hAnsi="仿宋" w:eastAsia="仿宋" w:cs="仿宋"/>
      <w:snapToGrid w:val="0"/>
      <w:color w:val="000000"/>
      <w:sz w:val="34"/>
      <w:szCs w:val="3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1037</Words>
  <Characters>1100</Characters>
  <Lines>8</Lines>
  <Paragraphs>2</Paragraphs>
  <TotalTime>23</TotalTime>
  <ScaleCrop>false</ScaleCrop>
  <LinksUpToDate>false</LinksUpToDate>
  <CharactersWithSpaces>1103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2024-07-09T14:44:00Z</dcterms:created>
  <dc:creator>。</dc:creator>
  <cp:lastModifiedBy>。</cp:lastModifiedBy>
  <dcterms:modified xsi:type="dcterms:W3CDTF">2024-07-09T15:10:11Z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67DF7523E3B449AB80D04F7A4EBF11DC_11</vt:lpwstr>
  </property>
</Properties>
</file>