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9D9C5">
      <w:pPr>
        <w:spacing w:line="360" w:lineRule="auto"/>
        <w:rPr>
          <w:rFonts w:ascii="Times New Roman" w:hAnsi="Times New Roman" w:eastAsia="宋体" w:cs="Times New Roman"/>
        </w:rPr>
      </w:pPr>
      <w:r>
        <w:rPr>
          <w:rFonts w:ascii="Times New Roman" w:hAnsi="Times New Roman" w:eastAsia="宋体" w:cs="Times New Roman"/>
        </w:rPr>
        <w:t>1.</w:t>
      </w:r>
      <w:r>
        <w:rPr>
          <w:rFonts w:hint="eastAsia"/>
        </w:rPr>
        <w:t xml:space="preserve"> </w:t>
      </w:r>
      <w:r>
        <w:rPr>
          <w:rFonts w:hint="eastAsia" w:ascii="Times New Roman" w:hAnsi="Times New Roman" w:eastAsia="宋体" w:cs="Times New Roman"/>
        </w:rPr>
        <w:t>通货膨胀导致物价上涨，从而导致债券价格上涨。（　）</w:t>
      </w:r>
    </w:p>
    <w:p w14:paraId="2AB9CC59">
      <w:pPr>
        <w:spacing w:line="360" w:lineRule="auto"/>
        <w:rPr>
          <w:rFonts w:ascii="Times New Roman" w:hAnsi="Times New Roman" w:eastAsia="宋体" w:cs="Times New Roman"/>
        </w:rPr>
      </w:pPr>
      <w:r>
        <w:rPr>
          <w:rFonts w:hint="eastAsia" w:ascii="Times New Roman" w:hAnsi="Times New Roman" w:eastAsia="宋体" w:cs="Times New Roman"/>
        </w:rPr>
        <w:t>【答案】×</w:t>
      </w:r>
    </w:p>
    <w:p w14:paraId="341037C6">
      <w:pPr>
        <w:spacing w:line="360" w:lineRule="auto"/>
        <w:rPr>
          <w:rFonts w:ascii="Times New Roman" w:hAnsi="Times New Roman" w:eastAsia="宋体" w:cs="Times New Roman"/>
        </w:rPr>
      </w:pPr>
      <w:r>
        <w:rPr>
          <w:rFonts w:hint="eastAsia" w:ascii="Times New Roman" w:hAnsi="Times New Roman" w:eastAsia="宋体" w:cs="Times New Roman"/>
        </w:rPr>
        <w:t>【解析】通货膨胀导致市场利率上升，债券价值等于以市场利率为折现率计算的债券面值和利息的现值，利息和债券面值不会因为通货膨胀而增加，所以，通货膨胀会导致债券价值下降，从而导致债券价格下降。</w:t>
      </w:r>
    </w:p>
    <w:p w14:paraId="40A78A7D">
      <w:pPr>
        <w:spacing w:line="360" w:lineRule="auto"/>
        <w:rPr>
          <w:rFonts w:ascii="Times New Roman" w:hAnsi="Times New Roman" w:eastAsia="宋体" w:cs="Times New Roman"/>
        </w:rPr>
      </w:pPr>
    </w:p>
    <w:p w14:paraId="2FEEC880">
      <w:pPr>
        <w:spacing w:line="360" w:lineRule="auto"/>
        <w:rPr>
          <w:rFonts w:ascii="Times New Roman" w:hAnsi="Times New Roman" w:eastAsia="宋体" w:cs="Times New Roman"/>
        </w:rPr>
      </w:pPr>
      <w:r>
        <w:rPr>
          <w:rFonts w:hint="eastAsia" w:ascii="Times New Roman" w:hAnsi="Times New Roman" w:eastAsia="宋体" w:cs="Times New Roman"/>
        </w:rPr>
        <w:t>2. 在有关货币时间价值指标的计算过程中，普通年金现值与普通年金终值是互为逆运算的关系。（　　）</w:t>
      </w:r>
    </w:p>
    <w:p w14:paraId="0F2F2E88">
      <w:pPr>
        <w:spacing w:line="360" w:lineRule="auto"/>
        <w:rPr>
          <w:rFonts w:ascii="Times New Roman" w:hAnsi="Times New Roman" w:eastAsia="宋体" w:cs="Times New Roman"/>
        </w:rPr>
      </w:pPr>
      <w:r>
        <w:rPr>
          <w:rFonts w:hint="eastAsia" w:ascii="Times New Roman" w:hAnsi="Times New Roman" w:eastAsia="宋体" w:cs="Times New Roman"/>
        </w:rPr>
        <w:t>【答案】</w:t>
      </w:r>
      <w:r>
        <w:rPr>
          <w:rFonts w:hint="eastAsia" w:ascii="Times New Roman" w:hAnsi="Times New Roman" w:eastAsia="宋体" w:cs="Times New Roman"/>
          <w:lang w:val="en-US" w:eastAsia="zh-CN"/>
        </w:rPr>
        <w:t xml:space="preserve"> </w:t>
      </w:r>
      <w:bookmarkStart w:id="1" w:name="_GoBack"/>
      <w:bookmarkEnd w:id="1"/>
      <w:r>
        <w:rPr>
          <w:rFonts w:hint="eastAsia" w:ascii="Times New Roman" w:hAnsi="Times New Roman" w:eastAsia="宋体" w:cs="Times New Roman"/>
        </w:rPr>
        <w:t>×</w:t>
      </w:r>
    </w:p>
    <w:p w14:paraId="5A206D68">
      <w:pPr>
        <w:spacing w:line="360" w:lineRule="auto"/>
        <w:rPr>
          <w:rFonts w:ascii="Times New Roman" w:hAnsi="Times New Roman" w:eastAsia="宋体" w:cs="Times New Roman"/>
        </w:rPr>
      </w:pPr>
      <w:r>
        <w:rPr>
          <w:rFonts w:hint="eastAsia" w:ascii="Times New Roman" w:hAnsi="Times New Roman" w:eastAsia="宋体" w:cs="Times New Roman"/>
        </w:rPr>
        <w:t>【解析】普通年金现值与年资本回收额互为逆运算。</w:t>
      </w:r>
    </w:p>
    <w:p w14:paraId="0DB7C252">
      <w:pPr>
        <w:spacing w:line="360" w:lineRule="auto"/>
        <w:rPr>
          <w:rFonts w:ascii="Times New Roman" w:hAnsi="Times New Roman" w:eastAsia="宋体" w:cs="Times New Roman"/>
        </w:rPr>
      </w:pPr>
    </w:p>
    <w:p w14:paraId="0D371F7B">
      <w:pPr>
        <w:spacing w:line="360" w:lineRule="auto"/>
        <w:rPr>
          <w:rFonts w:ascii="Times New Roman" w:hAnsi="Times New Roman" w:eastAsia="宋体" w:cs="Times New Roman"/>
        </w:rPr>
      </w:pPr>
      <w:r>
        <w:rPr>
          <w:rFonts w:hint="eastAsia" w:ascii="Times New Roman" w:hAnsi="Times New Roman" w:eastAsia="宋体" w:cs="Times New Roman"/>
        </w:rPr>
        <w:t>3. 如果某股票的β系数为0.5，表明它的风险是市场组合风险的0.5倍。（    　）</w:t>
      </w:r>
    </w:p>
    <w:p w14:paraId="27384F67">
      <w:pPr>
        <w:spacing w:line="360" w:lineRule="auto"/>
        <w:rPr>
          <w:rFonts w:ascii="Times New Roman" w:hAnsi="Times New Roman" w:eastAsia="宋体" w:cs="Times New Roman"/>
        </w:rPr>
      </w:pPr>
      <w:r>
        <w:rPr>
          <w:rFonts w:hint="eastAsia" w:ascii="Times New Roman" w:hAnsi="Times New Roman" w:eastAsia="宋体" w:cs="Times New Roman"/>
        </w:rPr>
        <w:t>【答案】×</w:t>
      </w:r>
    </w:p>
    <w:p w14:paraId="364AF7B0">
      <w:pPr>
        <w:spacing w:line="360" w:lineRule="auto"/>
        <w:rPr>
          <w:rFonts w:ascii="Times New Roman" w:hAnsi="Times New Roman" w:eastAsia="宋体" w:cs="Times New Roman"/>
        </w:rPr>
      </w:pPr>
      <w:r>
        <w:rPr>
          <w:rFonts w:hint="eastAsia" w:ascii="Times New Roman" w:hAnsi="Times New Roman" w:eastAsia="宋体" w:cs="Times New Roman"/>
        </w:rPr>
        <w:t>【解析】正确说法应是：如果某股票的β系数为0.5，表明它的系统风险是市场组合风险的0.5倍。</w:t>
      </w:r>
    </w:p>
    <w:p w14:paraId="5500EB78">
      <w:pPr>
        <w:spacing w:line="360" w:lineRule="auto"/>
        <w:rPr>
          <w:rFonts w:ascii="Times New Roman" w:hAnsi="Times New Roman" w:eastAsia="宋体" w:cs="Times New Roman"/>
        </w:rPr>
      </w:pPr>
    </w:p>
    <w:p w14:paraId="6F477246">
      <w:pPr>
        <w:spacing w:line="360" w:lineRule="auto"/>
        <w:rPr>
          <w:rFonts w:ascii="Times New Roman" w:hAnsi="Times New Roman" w:eastAsia="宋体" w:cs="Times New Roman"/>
        </w:rPr>
      </w:pPr>
      <w:r>
        <w:rPr>
          <w:rFonts w:hint="eastAsia" w:ascii="Times New Roman" w:hAnsi="Times New Roman" w:eastAsia="宋体" w:cs="Times New Roman"/>
        </w:rPr>
        <w:t>4. 市场风险溢酬反映市场作为整体对风险的厌恶程度。（    　）</w:t>
      </w:r>
    </w:p>
    <w:p w14:paraId="22196F58">
      <w:pPr>
        <w:spacing w:line="360" w:lineRule="auto"/>
        <w:rPr>
          <w:rFonts w:ascii="Times New Roman" w:hAnsi="Times New Roman" w:eastAsia="宋体" w:cs="Times New Roman"/>
        </w:rPr>
      </w:pPr>
      <w:r>
        <w:rPr>
          <w:rFonts w:hint="eastAsia" w:ascii="Times New Roman" w:hAnsi="Times New Roman" w:eastAsia="宋体" w:cs="Times New Roman"/>
        </w:rPr>
        <w:t>【答案】√</w:t>
      </w:r>
    </w:p>
    <w:p w14:paraId="051EFFA4">
      <w:pPr>
        <w:spacing w:line="360" w:lineRule="auto"/>
        <w:rPr>
          <w:rFonts w:ascii="Times New Roman" w:hAnsi="Times New Roman" w:eastAsia="宋体" w:cs="Times New Roman"/>
        </w:rPr>
      </w:pPr>
    </w:p>
    <w:p w14:paraId="3DE115F3">
      <w:pPr>
        <w:spacing w:line="360" w:lineRule="auto"/>
        <w:rPr>
          <w:rFonts w:ascii="Times New Roman" w:hAnsi="Times New Roman" w:eastAsia="宋体" w:cs="Times New Roman"/>
        </w:rPr>
      </w:pPr>
      <w:r>
        <w:rPr>
          <w:rFonts w:hint="eastAsia" w:ascii="Times New Roman" w:hAnsi="Times New Roman" w:eastAsia="宋体" w:cs="Times New Roman"/>
        </w:rPr>
        <w:t>5. 融资租赁租金的多少，取决于设备原价、设备预计残值、利息以及租赁手续费。（  ）</w:t>
      </w:r>
    </w:p>
    <w:p w14:paraId="26E2A219">
      <w:pPr>
        <w:spacing w:line="360" w:lineRule="auto"/>
        <w:rPr>
          <w:rFonts w:ascii="Times New Roman" w:hAnsi="Times New Roman" w:eastAsia="宋体" w:cs="Times New Roman"/>
        </w:rPr>
      </w:pPr>
      <w:r>
        <w:rPr>
          <w:rFonts w:hint="eastAsia" w:ascii="Times New Roman" w:hAnsi="Times New Roman" w:eastAsia="宋体" w:cs="Times New Roman"/>
        </w:rPr>
        <w:t>【答案】√</w:t>
      </w:r>
    </w:p>
    <w:p w14:paraId="4F09FBC1">
      <w:pPr>
        <w:spacing w:line="360" w:lineRule="auto"/>
        <w:rPr>
          <w:rFonts w:ascii="Times New Roman" w:hAnsi="Times New Roman" w:eastAsia="宋体" w:cs="Times New Roman"/>
        </w:rPr>
      </w:pPr>
    </w:p>
    <w:p w14:paraId="476B2123">
      <w:pPr>
        <w:spacing w:line="360" w:lineRule="auto"/>
        <w:rPr>
          <w:rFonts w:ascii="Times New Roman" w:hAnsi="Times New Roman" w:eastAsia="宋体" w:cs="Times New Roman"/>
        </w:rPr>
      </w:pPr>
      <w:r>
        <w:rPr>
          <w:rFonts w:hint="eastAsia" w:ascii="Times New Roman" w:hAnsi="Times New Roman" w:eastAsia="宋体" w:cs="Times New Roman"/>
        </w:rPr>
        <w:t>6. 非累积优先股是指公司不足以支付优先股的全部股息时，对所欠股息部分，优先股股东可以要求公司在以后年度补发。（     　）</w:t>
      </w:r>
    </w:p>
    <w:p w14:paraId="5ECC85CB">
      <w:pPr>
        <w:spacing w:line="360" w:lineRule="auto"/>
        <w:rPr>
          <w:rFonts w:ascii="Times New Roman" w:hAnsi="Times New Roman" w:eastAsia="宋体" w:cs="Times New Roman"/>
        </w:rPr>
      </w:pPr>
      <w:r>
        <w:rPr>
          <w:rFonts w:hint="eastAsia" w:ascii="Times New Roman" w:hAnsi="Times New Roman" w:eastAsia="宋体" w:cs="Times New Roman"/>
        </w:rPr>
        <w:t>【答案】×</w:t>
      </w:r>
    </w:p>
    <w:p w14:paraId="7EDAAEA6">
      <w:pPr>
        <w:spacing w:line="360" w:lineRule="auto"/>
        <w:rPr>
          <w:rFonts w:ascii="Times New Roman" w:hAnsi="Times New Roman" w:eastAsia="宋体" w:cs="Times New Roman"/>
        </w:rPr>
      </w:pPr>
    </w:p>
    <w:p w14:paraId="173985DB">
      <w:pPr>
        <w:spacing w:line="360" w:lineRule="auto"/>
        <w:rPr>
          <w:rFonts w:ascii="Times New Roman" w:hAnsi="Times New Roman" w:eastAsia="宋体" w:cs="Times New Roman"/>
        </w:rPr>
      </w:pPr>
      <w:r>
        <w:rPr>
          <w:rFonts w:hint="eastAsia" w:ascii="Times New Roman" w:hAnsi="Times New Roman" w:eastAsia="宋体" w:cs="Times New Roman"/>
        </w:rPr>
        <w:t>7. 因为公司债务必须付息，而普通股不一定支付股利，所以普通股资本成本小于债务资本成本（　）。</w:t>
      </w:r>
    </w:p>
    <w:p w14:paraId="4F4AE2D5">
      <w:pPr>
        <w:spacing w:line="360" w:lineRule="auto"/>
        <w:rPr>
          <w:rFonts w:ascii="Times New Roman" w:hAnsi="Times New Roman" w:eastAsia="宋体" w:cs="Times New Roman"/>
        </w:rPr>
      </w:pPr>
      <w:r>
        <w:rPr>
          <w:rFonts w:hint="eastAsia" w:ascii="Times New Roman" w:hAnsi="Times New Roman" w:eastAsia="宋体" w:cs="Times New Roman"/>
        </w:rPr>
        <w:t>【答案】×</w:t>
      </w:r>
    </w:p>
    <w:p w14:paraId="73C73C5B">
      <w:pPr>
        <w:spacing w:line="360" w:lineRule="auto"/>
        <w:rPr>
          <w:rFonts w:ascii="Times New Roman" w:hAnsi="Times New Roman" w:eastAsia="宋体" w:cs="Times New Roman"/>
        </w:rPr>
      </w:pPr>
      <w:r>
        <w:rPr>
          <w:rFonts w:hint="eastAsia" w:ascii="Times New Roman" w:hAnsi="Times New Roman" w:eastAsia="宋体" w:cs="Times New Roman"/>
        </w:rPr>
        <w:t>【解析】债务利息可以抵减所得税，股利不具有抵税效应，普通股不一定支付股利，不代表不需要支付股利。而且股东享有的是剩余收益，股东承担风险大于债权人，其要求的报酬率也高于债权人，其普通股资本成本大于债务资本成本。</w:t>
      </w:r>
    </w:p>
    <w:p w14:paraId="2C02FF23">
      <w:pPr>
        <w:spacing w:line="360" w:lineRule="auto"/>
        <w:rPr>
          <w:rFonts w:ascii="Times New Roman" w:hAnsi="Times New Roman" w:eastAsia="宋体" w:cs="Times New Roman"/>
        </w:rPr>
      </w:pPr>
    </w:p>
    <w:p w14:paraId="250554AF">
      <w:pPr>
        <w:spacing w:line="360" w:lineRule="auto"/>
        <w:rPr>
          <w:rFonts w:ascii="Times New Roman" w:hAnsi="Times New Roman" w:eastAsia="宋体" w:cs="Times New Roman"/>
        </w:rPr>
      </w:pPr>
      <w:r>
        <w:rPr>
          <w:rFonts w:hint="eastAsia" w:ascii="Times New Roman" w:hAnsi="Times New Roman" w:eastAsia="宋体" w:cs="Times New Roman"/>
        </w:rPr>
        <w:t>8. 如果经营性固定成本为零，则经营杠杆系数为1，则企业没有经营风险。（     　）</w:t>
      </w:r>
    </w:p>
    <w:p w14:paraId="4F54165D">
      <w:pPr>
        <w:spacing w:line="360" w:lineRule="auto"/>
        <w:rPr>
          <w:rFonts w:ascii="Times New Roman" w:hAnsi="Times New Roman" w:eastAsia="宋体" w:cs="Times New Roman"/>
        </w:rPr>
      </w:pPr>
      <w:r>
        <w:rPr>
          <w:rFonts w:hint="eastAsia" w:ascii="Times New Roman" w:hAnsi="Times New Roman" w:eastAsia="宋体" w:cs="Times New Roman"/>
        </w:rPr>
        <w:t>【答案】×</w:t>
      </w:r>
    </w:p>
    <w:p w14:paraId="251E910E">
      <w:pPr>
        <w:spacing w:line="360" w:lineRule="auto"/>
        <w:rPr>
          <w:rFonts w:ascii="Times New Roman" w:hAnsi="Times New Roman" w:eastAsia="宋体" w:cs="Times New Roman"/>
        </w:rPr>
      </w:pPr>
      <w:r>
        <w:rPr>
          <w:rFonts w:hint="eastAsia" w:ascii="Times New Roman" w:hAnsi="Times New Roman" w:eastAsia="宋体" w:cs="Times New Roman"/>
        </w:rPr>
        <w:t>【解析】引起经营风险的主要原因是市场需求和生产成本等因素的不确定性，经营杠杆本身并不是资产报酬不确定的根源，它只是放大了经营风险。如果经营杠杆系数为1，则说明不存在经营杠杆效应，没有放大经营风险。企业只要经营就存在经营风险。</w:t>
      </w:r>
    </w:p>
    <w:p w14:paraId="4D50A5F9">
      <w:pPr>
        <w:spacing w:line="360" w:lineRule="auto"/>
        <w:rPr>
          <w:rFonts w:ascii="Times New Roman" w:hAnsi="Times New Roman" w:eastAsia="宋体" w:cs="Times New Roman"/>
        </w:rPr>
      </w:pPr>
    </w:p>
    <w:p w14:paraId="699A2AE0">
      <w:pPr>
        <w:spacing w:line="360" w:lineRule="auto"/>
        <w:rPr>
          <w:rFonts w:ascii="Times New Roman" w:hAnsi="Times New Roman" w:eastAsia="宋体" w:cs="Times New Roman"/>
        </w:rPr>
      </w:pPr>
      <w:r>
        <w:rPr>
          <w:rFonts w:hint="eastAsia" w:ascii="Times New Roman" w:hAnsi="Times New Roman" w:eastAsia="宋体" w:cs="Times New Roman"/>
        </w:rPr>
        <w:t>9. 最佳资本结构是使企业筹资能力最强、财务风险最小的资本结构。（　    ）</w:t>
      </w:r>
    </w:p>
    <w:p w14:paraId="19F3E92A">
      <w:pPr>
        <w:spacing w:line="360" w:lineRule="auto"/>
        <w:rPr>
          <w:rFonts w:ascii="Times New Roman" w:hAnsi="Times New Roman" w:eastAsia="宋体" w:cs="Times New Roman"/>
        </w:rPr>
      </w:pPr>
      <w:r>
        <w:rPr>
          <w:rFonts w:hint="eastAsia" w:ascii="Times New Roman" w:hAnsi="Times New Roman" w:eastAsia="宋体" w:cs="Times New Roman"/>
        </w:rPr>
        <w:t>【答案】×</w:t>
      </w:r>
    </w:p>
    <w:p w14:paraId="49BE0C9D">
      <w:pPr>
        <w:spacing w:line="360" w:lineRule="auto"/>
        <w:rPr>
          <w:rFonts w:ascii="Times New Roman" w:hAnsi="Times New Roman" w:eastAsia="宋体" w:cs="Times New Roman"/>
        </w:rPr>
      </w:pPr>
      <w:r>
        <w:rPr>
          <w:rFonts w:hint="eastAsia" w:ascii="Times New Roman" w:hAnsi="Times New Roman" w:eastAsia="宋体" w:cs="Times New Roman"/>
        </w:rPr>
        <w:t>【解析】最佳资本结构是指在一定条件下使企业平均资本成本率最低、企业价值最大的资本结构。</w:t>
      </w:r>
    </w:p>
    <w:p w14:paraId="18BF1788">
      <w:pPr>
        <w:spacing w:line="360" w:lineRule="auto"/>
        <w:rPr>
          <w:rFonts w:ascii="Times New Roman" w:hAnsi="Times New Roman" w:eastAsia="宋体" w:cs="Times New Roman"/>
        </w:rPr>
      </w:pPr>
    </w:p>
    <w:p w14:paraId="011DD6DD">
      <w:pPr>
        <w:spacing w:line="360" w:lineRule="auto"/>
        <w:rPr>
          <w:rFonts w:ascii="Times New Roman" w:hAnsi="Times New Roman" w:eastAsia="宋体" w:cs="Times New Roman"/>
        </w:rPr>
      </w:pPr>
      <w:r>
        <w:rPr>
          <w:rFonts w:hint="eastAsia" w:ascii="Times New Roman" w:hAnsi="Times New Roman" w:eastAsia="宋体" w:cs="Times New Roman"/>
        </w:rPr>
        <w:t>10. 净现值法不仅适宜于独立投资方案的比较决策，而且能够对寿命期不同的互斥投资方案进行直接决策。（　    ）</w:t>
      </w:r>
    </w:p>
    <w:p w14:paraId="0138C355">
      <w:pPr>
        <w:spacing w:line="360" w:lineRule="auto"/>
        <w:rPr>
          <w:rFonts w:ascii="Times New Roman" w:hAnsi="Times New Roman" w:eastAsia="宋体" w:cs="Times New Roman"/>
        </w:rPr>
      </w:pPr>
      <w:r>
        <w:rPr>
          <w:rFonts w:hint="eastAsia" w:ascii="Times New Roman" w:hAnsi="Times New Roman" w:eastAsia="宋体" w:cs="Times New Roman"/>
        </w:rPr>
        <w:t xml:space="preserve">【答案】× </w:t>
      </w:r>
    </w:p>
    <w:p w14:paraId="0C7C4844">
      <w:pPr>
        <w:spacing w:line="360" w:lineRule="auto"/>
        <w:rPr>
          <w:rFonts w:ascii="Times New Roman" w:hAnsi="Times New Roman" w:eastAsia="宋体" w:cs="Times New Roman"/>
        </w:rPr>
      </w:pPr>
      <w:r>
        <w:rPr>
          <w:rFonts w:hint="eastAsia" w:ascii="Times New Roman" w:hAnsi="Times New Roman" w:eastAsia="宋体" w:cs="Times New Roman"/>
        </w:rPr>
        <w:t>【解析】在独立投资方案比较中，尽管各项目净现值大于其他项目，但所需投资额大，获利能力可能低于其他项目，而该项目与其他项目又是非互斥的，因此只凭净现值大小无法决策，因此净现值法不适宜于独立方案的比较决策。净现值法也不能对寿命期不同的互斥投资方案进行直接决策，因为两项目寿命期不同的话，净现值是不可比的。</w:t>
      </w:r>
    </w:p>
    <w:p w14:paraId="754B72E4">
      <w:pPr>
        <w:spacing w:line="360" w:lineRule="auto"/>
        <w:rPr>
          <w:rFonts w:ascii="Times New Roman" w:hAnsi="Times New Roman" w:eastAsia="宋体" w:cs="Times New Roman"/>
        </w:rPr>
      </w:pPr>
    </w:p>
    <w:p w14:paraId="3B5689D8">
      <w:pPr>
        <w:spacing w:line="360" w:lineRule="auto"/>
        <w:rPr>
          <w:rFonts w:ascii="Times New Roman" w:hAnsi="Times New Roman" w:eastAsia="宋体" w:cs="Times New Roman"/>
        </w:rPr>
      </w:pPr>
      <w:r>
        <w:rPr>
          <w:rFonts w:hint="eastAsia" w:ascii="Times New Roman" w:hAnsi="Times New Roman" w:eastAsia="宋体" w:cs="Times New Roman"/>
        </w:rPr>
        <w:t>11. 在互斥投资方案的决策中，当项目的寿命期相等时，只有方案的原始投资额相同时，净现值最大的方案，方为最优方案。（   　）</w:t>
      </w:r>
    </w:p>
    <w:p w14:paraId="08F5A706">
      <w:pPr>
        <w:spacing w:line="360" w:lineRule="auto"/>
        <w:rPr>
          <w:rFonts w:ascii="Times New Roman" w:hAnsi="Times New Roman" w:eastAsia="宋体" w:cs="Times New Roman"/>
        </w:rPr>
      </w:pPr>
      <w:r>
        <w:rPr>
          <w:rFonts w:hint="eastAsia" w:ascii="Times New Roman" w:hAnsi="Times New Roman" w:eastAsia="宋体" w:cs="Times New Roman"/>
        </w:rPr>
        <w:t xml:space="preserve">【答案】× </w:t>
      </w:r>
    </w:p>
    <w:p w14:paraId="5294E146">
      <w:pPr>
        <w:spacing w:line="360" w:lineRule="auto"/>
        <w:rPr>
          <w:rFonts w:ascii="Times New Roman" w:hAnsi="Times New Roman" w:eastAsia="宋体" w:cs="Times New Roman"/>
        </w:rPr>
      </w:pPr>
      <w:r>
        <w:rPr>
          <w:rFonts w:hint="eastAsia" w:ascii="Times New Roman" w:hAnsi="Times New Roman" w:eastAsia="宋体" w:cs="Times New Roman"/>
        </w:rPr>
        <w:t>【解析】当项目的寿命期相等时，不论方案的原始投资额大小如何，能够获得更大的获利数额即净现值的，即为最优方案。</w:t>
      </w:r>
    </w:p>
    <w:p w14:paraId="69C22833">
      <w:pPr>
        <w:spacing w:line="360" w:lineRule="auto"/>
        <w:rPr>
          <w:rFonts w:ascii="Times New Roman" w:hAnsi="Times New Roman" w:eastAsia="宋体" w:cs="Times New Roman"/>
        </w:rPr>
      </w:pPr>
    </w:p>
    <w:p w14:paraId="3D1EC40B">
      <w:pPr>
        <w:spacing w:line="360" w:lineRule="auto"/>
        <w:rPr>
          <w:rFonts w:ascii="Times New Roman" w:hAnsi="Times New Roman" w:eastAsia="宋体" w:cs="Times New Roman"/>
        </w:rPr>
      </w:pPr>
      <w:r>
        <w:rPr>
          <w:rFonts w:hint="eastAsia" w:ascii="Times New Roman" w:hAnsi="Times New Roman" w:eastAsia="宋体" w:cs="Times New Roman"/>
        </w:rPr>
        <w:t>12. 计算债券价值时，经常使用票面利率作为折现率。（　      ）</w:t>
      </w:r>
    </w:p>
    <w:p w14:paraId="384DB263">
      <w:pPr>
        <w:spacing w:line="360" w:lineRule="auto"/>
        <w:rPr>
          <w:rFonts w:ascii="Times New Roman" w:hAnsi="Times New Roman" w:eastAsia="宋体" w:cs="Times New Roman"/>
        </w:rPr>
      </w:pPr>
      <w:r>
        <w:rPr>
          <w:rFonts w:hint="eastAsia" w:ascii="Times New Roman" w:hAnsi="Times New Roman" w:eastAsia="宋体" w:cs="Times New Roman"/>
        </w:rPr>
        <w:t>【答案】×</w:t>
      </w:r>
    </w:p>
    <w:p w14:paraId="34CC5BAE">
      <w:pPr>
        <w:spacing w:line="360" w:lineRule="auto"/>
        <w:rPr>
          <w:rFonts w:ascii="Times New Roman" w:hAnsi="Times New Roman" w:eastAsia="宋体" w:cs="Times New Roman"/>
        </w:rPr>
      </w:pPr>
    </w:p>
    <w:p w14:paraId="0E8822D1">
      <w:pPr>
        <w:spacing w:line="360" w:lineRule="auto"/>
        <w:rPr>
          <w:rFonts w:ascii="Times New Roman" w:hAnsi="Times New Roman" w:eastAsia="宋体" w:cs="Times New Roman"/>
        </w:rPr>
      </w:pPr>
      <w:r>
        <w:rPr>
          <w:rFonts w:hint="eastAsia" w:ascii="Times New Roman" w:hAnsi="Times New Roman" w:eastAsia="宋体" w:cs="Times New Roman"/>
        </w:rPr>
        <w:t>13. 企业采用严格的信用标准，虽然会增加应收账款的机会成本，但能扩大商品销售额，从而会给企业带来更多的收益。（    　）</w:t>
      </w:r>
    </w:p>
    <w:p w14:paraId="787C0AF6">
      <w:pPr>
        <w:spacing w:line="360" w:lineRule="auto"/>
        <w:rPr>
          <w:rFonts w:ascii="Times New Roman" w:hAnsi="Times New Roman" w:eastAsia="宋体" w:cs="Times New Roman"/>
        </w:rPr>
      </w:pPr>
      <w:r>
        <w:rPr>
          <w:rFonts w:hint="eastAsia" w:ascii="Times New Roman" w:hAnsi="Times New Roman" w:eastAsia="宋体" w:cs="Times New Roman"/>
        </w:rPr>
        <w:t>【答案】×</w:t>
      </w:r>
    </w:p>
    <w:p w14:paraId="47A77004">
      <w:pPr>
        <w:spacing w:line="360" w:lineRule="auto"/>
        <w:rPr>
          <w:rFonts w:ascii="Times New Roman" w:hAnsi="Times New Roman" w:eastAsia="宋体" w:cs="Times New Roman"/>
        </w:rPr>
      </w:pPr>
    </w:p>
    <w:p w14:paraId="11763092">
      <w:pPr>
        <w:spacing w:line="360" w:lineRule="auto"/>
        <w:rPr>
          <w:rFonts w:ascii="Times New Roman" w:hAnsi="Times New Roman" w:eastAsia="宋体" w:cs="Times New Roman"/>
        </w:rPr>
      </w:pPr>
      <w:r>
        <w:rPr>
          <w:rFonts w:hint="eastAsia" w:ascii="Times New Roman" w:hAnsi="Times New Roman" w:eastAsia="宋体" w:cs="Times New Roman"/>
        </w:rPr>
        <w:t>14. 某公司推行适时制（JIT），对公司管理水平提出了更高的要求，因此该公司应采用宽松的流动资产投资策略。（　　）</w:t>
      </w:r>
    </w:p>
    <w:p w14:paraId="7E31FA9F">
      <w:pPr>
        <w:spacing w:line="360" w:lineRule="auto"/>
        <w:rPr>
          <w:rFonts w:ascii="Times New Roman" w:hAnsi="Times New Roman" w:eastAsia="宋体" w:cs="Times New Roman"/>
        </w:rPr>
      </w:pPr>
      <w:r>
        <w:rPr>
          <w:rFonts w:hint="eastAsia" w:ascii="Times New Roman" w:hAnsi="Times New Roman" w:eastAsia="宋体" w:cs="Times New Roman"/>
        </w:rPr>
        <w:t>【答案】×</w:t>
      </w:r>
    </w:p>
    <w:p w14:paraId="6072AC0D">
      <w:pPr>
        <w:spacing w:line="360" w:lineRule="auto"/>
        <w:rPr>
          <w:rFonts w:ascii="Times New Roman" w:hAnsi="Times New Roman" w:eastAsia="宋体" w:cs="Times New Roman"/>
        </w:rPr>
      </w:pPr>
      <w:r>
        <w:rPr>
          <w:rFonts w:hint="eastAsia" w:ascii="Times New Roman" w:hAnsi="Times New Roman" w:eastAsia="宋体" w:cs="Times New Roman"/>
        </w:rPr>
        <w:t>【解析】采用紧缩的流动资产投资策略，对企业的管理水平有较高的要求。存货控制的适时管理系统（JIT）是采用紧缩的流动资产投资策略的代表。</w:t>
      </w:r>
    </w:p>
    <w:p w14:paraId="3496F3B5">
      <w:pPr>
        <w:spacing w:line="360" w:lineRule="auto"/>
        <w:rPr>
          <w:rFonts w:ascii="Times New Roman" w:hAnsi="Times New Roman" w:eastAsia="宋体" w:cs="Times New Roman"/>
        </w:rPr>
      </w:pPr>
    </w:p>
    <w:p w14:paraId="2099B1CB">
      <w:pPr>
        <w:spacing w:line="360" w:lineRule="auto"/>
        <w:rPr>
          <w:rFonts w:ascii="Times New Roman" w:hAnsi="Times New Roman" w:eastAsia="宋体" w:cs="Times New Roman"/>
        </w:rPr>
      </w:pPr>
      <w:r>
        <w:rPr>
          <w:rFonts w:hint="eastAsia" w:ascii="Times New Roman" w:hAnsi="Times New Roman" w:eastAsia="宋体" w:cs="Times New Roman"/>
        </w:rPr>
        <w:t>15. 应付账款是供应商给企业的一种商业信用，采用这种融资方式是没有成本的。（　　）</w:t>
      </w:r>
    </w:p>
    <w:p w14:paraId="6CC50457">
      <w:pPr>
        <w:spacing w:line="360" w:lineRule="auto"/>
        <w:rPr>
          <w:rFonts w:ascii="Times New Roman" w:hAnsi="Times New Roman" w:eastAsia="宋体" w:cs="Times New Roman"/>
        </w:rPr>
      </w:pPr>
      <w:r>
        <w:rPr>
          <w:rFonts w:hint="eastAsia" w:ascii="Times New Roman" w:hAnsi="Times New Roman" w:eastAsia="宋体" w:cs="Times New Roman"/>
        </w:rPr>
        <w:t>【答案】×</w:t>
      </w:r>
    </w:p>
    <w:p w14:paraId="15A7CAD8">
      <w:pPr>
        <w:spacing w:line="360" w:lineRule="auto"/>
        <w:rPr>
          <w:rFonts w:ascii="Times New Roman" w:hAnsi="Times New Roman" w:eastAsia="宋体" w:cs="Times New Roman"/>
        </w:rPr>
      </w:pPr>
      <w:r>
        <w:rPr>
          <w:rFonts w:hint="eastAsia" w:ascii="Times New Roman" w:hAnsi="Times New Roman" w:eastAsia="宋体" w:cs="Times New Roman"/>
        </w:rPr>
        <w:t>【解析】当供应商提供现金折扣，企业没有享用该现金折扣时，这种融资方式存在机会成本。</w:t>
      </w:r>
    </w:p>
    <w:p w14:paraId="28395280">
      <w:pPr>
        <w:spacing w:line="360" w:lineRule="auto"/>
        <w:rPr>
          <w:rFonts w:ascii="Times New Roman" w:hAnsi="Times New Roman" w:eastAsia="宋体" w:cs="Times New Roman"/>
        </w:rPr>
      </w:pPr>
    </w:p>
    <w:p w14:paraId="7F7AD658">
      <w:pPr>
        <w:spacing w:line="360" w:lineRule="auto"/>
        <w:rPr>
          <w:rFonts w:ascii="Times New Roman" w:hAnsi="Times New Roman" w:eastAsia="宋体" w:cs="Times New Roman"/>
        </w:rPr>
      </w:pPr>
      <w:r>
        <w:rPr>
          <w:rFonts w:hint="eastAsia" w:ascii="Times New Roman" w:hAnsi="Times New Roman" w:eastAsia="宋体" w:cs="Times New Roman"/>
        </w:rPr>
        <w:t>16. 在流动资产的三种融资策略中，使用短期融资最多的是激进融资策略。（　）</w:t>
      </w:r>
    </w:p>
    <w:p w14:paraId="4BB1A2B1">
      <w:pPr>
        <w:spacing w:line="360" w:lineRule="auto"/>
        <w:rPr>
          <w:rFonts w:ascii="Times New Roman" w:hAnsi="Times New Roman" w:eastAsia="宋体" w:cs="Times New Roman"/>
        </w:rPr>
      </w:pPr>
      <w:r>
        <w:rPr>
          <w:rFonts w:hint="eastAsia" w:ascii="Times New Roman" w:hAnsi="Times New Roman" w:eastAsia="宋体" w:cs="Times New Roman"/>
        </w:rPr>
        <w:t>【答案】√</w:t>
      </w:r>
    </w:p>
    <w:p w14:paraId="5307D5AC">
      <w:pPr>
        <w:spacing w:line="360" w:lineRule="auto"/>
        <w:rPr>
          <w:rFonts w:ascii="Times New Roman" w:hAnsi="Times New Roman" w:eastAsia="宋体" w:cs="Times New Roman"/>
        </w:rPr>
      </w:pPr>
    </w:p>
    <w:p w14:paraId="2B8095F7">
      <w:pPr>
        <w:spacing w:line="360" w:lineRule="auto"/>
        <w:rPr>
          <w:rFonts w:ascii="Times New Roman" w:hAnsi="Times New Roman" w:eastAsia="宋体" w:cs="Times New Roman"/>
        </w:rPr>
      </w:pPr>
      <w:r>
        <w:rPr>
          <w:rFonts w:hint="eastAsia" w:ascii="Times New Roman" w:hAnsi="Times New Roman" w:eastAsia="宋体" w:cs="Times New Roman"/>
        </w:rPr>
        <w:t>17. 股票回购会改变公司的资本结构，而股票分割后股东权益总额及其内部结构都不会发生任何变化。（    　）</w:t>
      </w:r>
    </w:p>
    <w:p w14:paraId="17CD0463">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5034A933">
      <w:pPr>
        <w:spacing w:line="360" w:lineRule="auto"/>
        <w:rPr>
          <w:rFonts w:ascii="Times New Roman" w:hAnsi="Times New Roman" w:eastAsia="宋体" w:cs="Times New Roman"/>
        </w:rPr>
      </w:pPr>
    </w:p>
    <w:p w14:paraId="42F44F41">
      <w:pPr>
        <w:spacing w:line="360" w:lineRule="auto"/>
        <w:rPr>
          <w:rFonts w:ascii="Times New Roman" w:hAnsi="Times New Roman" w:eastAsia="宋体" w:cs="Times New Roman"/>
        </w:rPr>
      </w:pPr>
      <w:r>
        <w:rPr>
          <w:rFonts w:hint="eastAsia" w:ascii="Times New Roman" w:hAnsi="Times New Roman" w:eastAsia="宋体" w:cs="Times New Roman"/>
        </w:rPr>
        <w:t>18. 市净率是每股市价与每股净利的比率，是投资者用以衡量、分析个股是否具有投资价值的工具之一。（     　）</w:t>
      </w:r>
    </w:p>
    <w:p w14:paraId="6CEB63FE">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7EB4D2CA">
      <w:pPr>
        <w:spacing w:line="360" w:lineRule="auto"/>
        <w:rPr>
          <w:rFonts w:ascii="Times New Roman" w:hAnsi="Times New Roman" w:eastAsia="宋体" w:cs="Times New Roman"/>
        </w:rPr>
      </w:pPr>
      <w:r>
        <w:rPr>
          <w:rFonts w:hint="eastAsia" w:ascii="Times New Roman" w:hAnsi="Times New Roman" w:eastAsia="宋体" w:cs="Times New Roman"/>
        </w:rPr>
        <w:t>【解析】市净率为市价与每股净资产的比率。</w:t>
      </w:r>
    </w:p>
    <w:p w14:paraId="7D67253B">
      <w:pPr>
        <w:spacing w:line="360" w:lineRule="auto"/>
        <w:rPr>
          <w:rFonts w:ascii="Times New Roman" w:hAnsi="Times New Roman" w:eastAsia="宋体" w:cs="Times New Roman"/>
        </w:rPr>
      </w:pPr>
    </w:p>
    <w:p w14:paraId="578C69C5">
      <w:pPr>
        <w:spacing w:line="360" w:lineRule="auto"/>
        <w:rPr>
          <w:rFonts w:ascii="Times New Roman" w:hAnsi="Times New Roman" w:eastAsia="宋体" w:cs="Times New Roman"/>
        </w:rPr>
      </w:pPr>
      <w:r>
        <w:rPr>
          <w:rFonts w:hint="eastAsia" w:ascii="Times New Roman" w:hAnsi="Times New Roman" w:eastAsia="宋体" w:cs="Times New Roman"/>
        </w:rPr>
        <w:t>19. 权益乘数的高低取决于企业的资本结构；资产负债率越高，权益乘数越高，财务风险越大。（    　）</w:t>
      </w:r>
    </w:p>
    <w:p w14:paraId="640F8C35">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584F30CA">
      <w:pPr>
        <w:spacing w:line="360" w:lineRule="auto"/>
        <w:rPr>
          <w:rFonts w:ascii="Times New Roman" w:hAnsi="Times New Roman" w:eastAsia="宋体" w:cs="Times New Roman"/>
        </w:rPr>
      </w:pPr>
    </w:p>
    <w:p w14:paraId="343B0511">
      <w:pPr>
        <w:spacing w:line="360" w:lineRule="auto"/>
        <w:rPr>
          <w:rFonts w:ascii="Times New Roman" w:hAnsi="Times New Roman" w:eastAsia="宋体" w:cs="Times New Roman"/>
        </w:rPr>
      </w:pPr>
      <w:r>
        <w:rPr>
          <w:rFonts w:hint="eastAsia" w:ascii="Times New Roman" w:hAnsi="Times New Roman" w:eastAsia="宋体" w:cs="Times New Roman"/>
        </w:rPr>
        <w:t>20. 当流动资产小于流动负债时，说明部分长期资产是以流动负债作为资金来源的。（   ）</w:t>
      </w:r>
    </w:p>
    <w:p w14:paraId="1C126736">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746A21EB">
      <w:pPr>
        <w:spacing w:line="360" w:lineRule="auto"/>
        <w:rPr>
          <w:rFonts w:ascii="Times New Roman" w:hAnsi="Times New Roman" w:eastAsia="宋体" w:cs="Times New Roman"/>
        </w:rPr>
      </w:pPr>
    </w:p>
    <w:p w14:paraId="573E2B06">
      <w:pPr>
        <w:spacing w:line="360" w:lineRule="auto"/>
        <w:rPr>
          <w:rFonts w:ascii="Times New Roman" w:hAnsi="Times New Roman" w:eastAsia="宋体" w:cs="Times New Roman"/>
        </w:rPr>
      </w:pPr>
      <w:r>
        <w:rPr>
          <w:rFonts w:hint="eastAsia" w:ascii="Times New Roman" w:hAnsi="Times New Roman" w:eastAsia="宋体" w:cs="Times New Roman"/>
        </w:rPr>
        <w:t>21. 营业周期越短，资产流动性越强，资产周转相对越快。（    ）</w:t>
      </w:r>
    </w:p>
    <w:p w14:paraId="5748F219">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6A6A15ED">
      <w:pPr>
        <w:spacing w:line="360" w:lineRule="auto"/>
        <w:rPr>
          <w:rFonts w:ascii="Times New Roman" w:hAnsi="Times New Roman" w:eastAsia="宋体" w:cs="Times New Roman"/>
        </w:rPr>
      </w:pPr>
    </w:p>
    <w:p w14:paraId="07057AD2">
      <w:pPr>
        <w:spacing w:line="360" w:lineRule="auto"/>
        <w:rPr>
          <w:rFonts w:ascii="Times New Roman" w:hAnsi="Times New Roman" w:eastAsia="宋体" w:cs="Times New Roman"/>
        </w:rPr>
      </w:pPr>
      <w:r>
        <w:rPr>
          <w:rFonts w:hint="eastAsia" w:ascii="Times New Roman" w:hAnsi="Times New Roman" w:eastAsia="宋体" w:cs="Times New Roman"/>
        </w:rPr>
        <w:t>22. 企业负债比率越高，财务杠杆系数越大，财务风险越小。（     ）</w:t>
      </w:r>
    </w:p>
    <w:p w14:paraId="0B01B2C4">
      <w:pPr>
        <w:spacing w:line="360" w:lineRule="auto"/>
        <w:rPr>
          <w:rFonts w:ascii="Times New Roman" w:hAnsi="Times New Roman" w:eastAsia="宋体" w:cs="Times New Roman"/>
        </w:rPr>
      </w:pPr>
      <w:bookmarkStart w:id="0" w:name="_Hlk182666557"/>
      <w:r>
        <w:rPr>
          <w:rFonts w:hint="eastAsia" w:ascii="Times New Roman" w:hAnsi="Times New Roman" w:eastAsia="宋体" w:cs="Times New Roman"/>
        </w:rPr>
        <w:t>【答案】 ×</w:t>
      </w:r>
    </w:p>
    <w:bookmarkEnd w:id="0"/>
    <w:p w14:paraId="43F50484">
      <w:pPr>
        <w:spacing w:line="360" w:lineRule="auto"/>
        <w:rPr>
          <w:rFonts w:ascii="Times New Roman" w:hAnsi="Times New Roman" w:eastAsia="宋体" w:cs="Times New Roman"/>
        </w:rPr>
      </w:pPr>
    </w:p>
    <w:p w14:paraId="23AD5E89">
      <w:pPr>
        <w:spacing w:line="360" w:lineRule="auto"/>
        <w:rPr>
          <w:rFonts w:ascii="Times New Roman" w:hAnsi="Times New Roman" w:eastAsia="宋体" w:cs="Times New Roman"/>
        </w:rPr>
      </w:pPr>
      <w:r>
        <w:rPr>
          <w:rFonts w:hint="eastAsia" w:ascii="Times New Roman" w:hAnsi="Times New Roman" w:eastAsia="宋体" w:cs="Times New Roman"/>
        </w:rPr>
        <w:t>23. 一般来说，企业的获利能力越强，则长期偿债能力越强。（     ）</w:t>
      </w:r>
    </w:p>
    <w:p w14:paraId="4D915ADC">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7AE3FE92">
      <w:pPr>
        <w:spacing w:line="360" w:lineRule="auto"/>
        <w:rPr>
          <w:rFonts w:ascii="Times New Roman" w:hAnsi="Times New Roman" w:eastAsia="宋体" w:cs="Times New Roman"/>
        </w:rPr>
      </w:pPr>
    </w:p>
    <w:p w14:paraId="4D106777">
      <w:pPr>
        <w:spacing w:line="360" w:lineRule="auto"/>
        <w:rPr>
          <w:rFonts w:ascii="Times New Roman" w:hAnsi="Times New Roman" w:eastAsia="宋体" w:cs="Times New Roman"/>
        </w:rPr>
      </w:pPr>
      <w:r>
        <w:rPr>
          <w:rFonts w:hint="eastAsia" w:ascii="Times New Roman" w:hAnsi="Times New Roman" w:eastAsia="宋体" w:cs="Times New Roman"/>
        </w:rPr>
        <w:t>24. 对企业市盈率高低的评价必须依据当时金融市场的平均市盈率进行，并非越高越好或越低越好。（    ）</w:t>
      </w:r>
    </w:p>
    <w:p w14:paraId="05DF8A50">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3F6A67B8">
      <w:pPr>
        <w:spacing w:line="360" w:lineRule="auto"/>
        <w:rPr>
          <w:rFonts w:ascii="Times New Roman" w:hAnsi="Times New Roman" w:eastAsia="宋体" w:cs="Times New Roman"/>
        </w:rPr>
      </w:pPr>
    </w:p>
    <w:p w14:paraId="559C8A00">
      <w:pPr>
        <w:spacing w:line="360" w:lineRule="auto"/>
        <w:rPr>
          <w:rFonts w:ascii="Times New Roman" w:hAnsi="Times New Roman" w:eastAsia="宋体" w:cs="Times New Roman"/>
        </w:rPr>
      </w:pPr>
      <w:r>
        <w:rPr>
          <w:rFonts w:hint="eastAsia" w:ascii="Times New Roman" w:hAnsi="Times New Roman" w:eastAsia="宋体" w:cs="Times New Roman"/>
        </w:rPr>
        <w:t>25. 在亏损产品决策中，若企业利用亏损产品停产后腾出来的生产能力转产另一种产品，那么转产的条件是该转产产品能提供正的边际贡献。（   ）</w:t>
      </w:r>
    </w:p>
    <w:p w14:paraId="7CDF5069">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158CD9E5">
      <w:pPr>
        <w:spacing w:line="360" w:lineRule="auto"/>
        <w:rPr>
          <w:rFonts w:ascii="Times New Roman" w:hAnsi="Times New Roman" w:eastAsia="宋体" w:cs="Times New Roman"/>
        </w:rPr>
      </w:pPr>
    </w:p>
    <w:p w14:paraId="392B34BA">
      <w:pPr>
        <w:spacing w:line="360" w:lineRule="auto"/>
        <w:rPr>
          <w:rFonts w:ascii="Times New Roman" w:hAnsi="Times New Roman" w:eastAsia="宋体" w:cs="Times New Roman"/>
        </w:rPr>
      </w:pPr>
      <w:r>
        <w:rPr>
          <w:rFonts w:hint="eastAsia" w:ascii="Times New Roman" w:hAnsi="Times New Roman" w:eastAsia="宋体" w:cs="Times New Roman"/>
        </w:rPr>
        <w:t>26. 在半成品是否深加工的决策中，其半成品成本可以列作无关成本，而不予考虑。（   ）</w:t>
      </w:r>
    </w:p>
    <w:p w14:paraId="4519E13B">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23CEF9AB">
      <w:pPr>
        <w:spacing w:line="360" w:lineRule="auto"/>
        <w:rPr>
          <w:rFonts w:ascii="Times New Roman" w:hAnsi="Times New Roman" w:eastAsia="宋体" w:cs="Times New Roman"/>
        </w:rPr>
      </w:pPr>
    </w:p>
    <w:p w14:paraId="33EB8785">
      <w:pPr>
        <w:spacing w:line="360" w:lineRule="auto"/>
        <w:rPr>
          <w:rFonts w:ascii="Times New Roman" w:hAnsi="Times New Roman" w:eastAsia="宋体" w:cs="Times New Roman"/>
        </w:rPr>
      </w:pPr>
      <w:r>
        <w:rPr>
          <w:rFonts w:hint="eastAsia" w:ascii="Times New Roman" w:hAnsi="Times New Roman" w:eastAsia="宋体" w:cs="Times New Roman"/>
        </w:rPr>
        <w:t>27. 完全成本法有助于使管理者重视市场销售，增强现代管理意识，实现以销定产，防止盲目生产带来的产品大量积压，提高企业的经济效益。（    ）</w:t>
      </w:r>
    </w:p>
    <w:p w14:paraId="5A358FA1">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5F86AFE7">
      <w:pPr>
        <w:spacing w:line="360" w:lineRule="auto"/>
        <w:rPr>
          <w:rFonts w:ascii="Times New Roman" w:hAnsi="Times New Roman" w:eastAsia="宋体" w:cs="Times New Roman"/>
        </w:rPr>
      </w:pPr>
    </w:p>
    <w:p w14:paraId="0EA8B856">
      <w:pPr>
        <w:spacing w:line="360" w:lineRule="auto"/>
        <w:rPr>
          <w:rFonts w:ascii="Times New Roman" w:hAnsi="Times New Roman" w:eastAsia="宋体" w:cs="Times New Roman"/>
        </w:rPr>
      </w:pPr>
      <w:r>
        <w:rPr>
          <w:rFonts w:hint="eastAsia" w:ascii="Times New Roman" w:hAnsi="Times New Roman" w:eastAsia="宋体" w:cs="Times New Roman"/>
        </w:rPr>
        <w:t>28. 约束性固定成本属于企业“经营方式”成本，即根据企业经营方针由管理当局确定的一定时期的成本。（  ）</w:t>
      </w:r>
    </w:p>
    <w:p w14:paraId="061BEBFB">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22E559B4">
      <w:pPr>
        <w:spacing w:line="360" w:lineRule="auto"/>
        <w:rPr>
          <w:rFonts w:ascii="Times New Roman" w:hAnsi="Times New Roman" w:eastAsia="宋体" w:cs="Times New Roman"/>
        </w:rPr>
      </w:pPr>
    </w:p>
    <w:p w14:paraId="015C7479">
      <w:pPr>
        <w:spacing w:line="360" w:lineRule="auto"/>
        <w:rPr>
          <w:rFonts w:ascii="Times New Roman" w:hAnsi="Times New Roman" w:eastAsia="宋体" w:cs="Times New Roman"/>
        </w:rPr>
      </w:pPr>
      <w:r>
        <w:rPr>
          <w:rFonts w:hint="eastAsia" w:ascii="Times New Roman" w:hAnsi="Times New Roman" w:eastAsia="宋体" w:cs="Times New Roman"/>
        </w:rPr>
        <w:t>29. 平滑系数越大，则近期实际对预测结果的影响越小。（   ）</w:t>
      </w:r>
    </w:p>
    <w:p w14:paraId="7C15E5F1">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170FE1C5">
      <w:pPr>
        <w:spacing w:line="360" w:lineRule="auto"/>
        <w:rPr>
          <w:rFonts w:ascii="Times New Roman" w:hAnsi="Times New Roman" w:eastAsia="宋体" w:cs="Times New Roman"/>
        </w:rPr>
      </w:pPr>
    </w:p>
    <w:p w14:paraId="71A95314">
      <w:pPr>
        <w:spacing w:line="360" w:lineRule="auto"/>
        <w:rPr>
          <w:rFonts w:ascii="Times New Roman" w:hAnsi="Times New Roman" w:eastAsia="宋体" w:cs="Times New Roman"/>
        </w:rPr>
      </w:pPr>
      <w:r>
        <w:rPr>
          <w:rFonts w:hint="eastAsia" w:ascii="Times New Roman" w:hAnsi="Times New Roman" w:eastAsia="宋体" w:cs="Times New Roman"/>
        </w:rPr>
        <w:t>30. 资源动因能够反映产品产量与作业成本之间的因果关系。（   ）</w:t>
      </w:r>
    </w:p>
    <w:p w14:paraId="5CE44F9D">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4BE13488">
      <w:pPr>
        <w:spacing w:line="360" w:lineRule="auto"/>
        <w:rPr>
          <w:rFonts w:ascii="Times New Roman" w:hAnsi="Times New Roman" w:eastAsia="宋体" w:cs="Times New Roman"/>
        </w:rPr>
      </w:pPr>
      <w:r>
        <w:rPr>
          <w:rFonts w:hint="eastAsia" w:ascii="Times New Roman" w:hAnsi="Times New Roman" w:eastAsia="宋体" w:cs="Times New Roman"/>
        </w:rPr>
        <w:t>【解析】作业动因能够反映产品产量与作业成本之间的因果关系。</w:t>
      </w:r>
    </w:p>
    <w:p w14:paraId="7060DAC2">
      <w:pPr>
        <w:spacing w:line="360" w:lineRule="auto"/>
        <w:rPr>
          <w:rFonts w:ascii="Times New Roman" w:hAnsi="Times New Roman" w:eastAsia="宋体" w:cs="Times New Roman"/>
        </w:rPr>
      </w:pPr>
    </w:p>
    <w:p w14:paraId="1A4C8211">
      <w:pPr>
        <w:spacing w:line="360" w:lineRule="auto"/>
        <w:rPr>
          <w:rFonts w:ascii="Times New Roman" w:hAnsi="Times New Roman" w:eastAsia="宋体" w:cs="Times New Roman"/>
        </w:rPr>
      </w:pPr>
      <w:r>
        <w:rPr>
          <w:rFonts w:hint="eastAsia" w:ascii="Times New Roman" w:hAnsi="Times New Roman" w:eastAsia="宋体" w:cs="Times New Roman"/>
        </w:rPr>
        <w:t>31. 导致两种方法分期营业利润出现狭义差额的根本原因，就在于它们对固定性制造费用的处理采取了不同的方式。（   ）</w:t>
      </w:r>
    </w:p>
    <w:p w14:paraId="7BE53954">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3D0EF424">
      <w:pPr>
        <w:spacing w:line="360" w:lineRule="auto"/>
        <w:rPr>
          <w:rFonts w:ascii="Times New Roman" w:hAnsi="Times New Roman" w:eastAsia="宋体" w:cs="Times New Roman"/>
        </w:rPr>
      </w:pPr>
    </w:p>
    <w:p w14:paraId="2E6471D8">
      <w:pPr>
        <w:spacing w:line="360" w:lineRule="auto"/>
        <w:rPr>
          <w:rFonts w:ascii="Times New Roman" w:hAnsi="Times New Roman" w:eastAsia="宋体" w:cs="Times New Roman"/>
        </w:rPr>
      </w:pPr>
      <w:r>
        <w:rPr>
          <w:rFonts w:hint="eastAsia" w:ascii="Times New Roman" w:hAnsi="Times New Roman" w:eastAsia="宋体" w:cs="Times New Roman"/>
        </w:rPr>
        <w:t>32. 企业处于保本状态时，安全边际率０，保本作业率等于１。（   ）</w:t>
      </w:r>
    </w:p>
    <w:p w14:paraId="7E10F693">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15AE8BBD">
      <w:pPr>
        <w:spacing w:line="360" w:lineRule="auto"/>
        <w:rPr>
          <w:rFonts w:ascii="Times New Roman" w:hAnsi="Times New Roman" w:eastAsia="宋体" w:cs="Times New Roman"/>
        </w:rPr>
      </w:pPr>
    </w:p>
    <w:p w14:paraId="29506CD3">
      <w:pPr>
        <w:spacing w:line="360" w:lineRule="auto"/>
        <w:rPr>
          <w:rFonts w:ascii="Times New Roman" w:hAnsi="Times New Roman" w:eastAsia="宋体" w:cs="Times New Roman"/>
        </w:rPr>
      </w:pPr>
      <w:r>
        <w:rPr>
          <w:rFonts w:hint="eastAsia" w:ascii="Times New Roman" w:hAnsi="Times New Roman" w:eastAsia="宋体" w:cs="Times New Roman"/>
        </w:rPr>
        <w:t>33. 在一定时期内，对于各责任中心之间已经发生的内部交易来说，无论采用哪种内部转移价格核算，只影响到各相关责任中心之间的利益分配，不会改变企业总体利润的大小。（   ）</w:t>
      </w:r>
    </w:p>
    <w:p w14:paraId="37942694">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5795470C">
      <w:pPr>
        <w:spacing w:line="360" w:lineRule="auto"/>
        <w:rPr>
          <w:rFonts w:ascii="Times New Roman" w:hAnsi="Times New Roman" w:eastAsia="宋体" w:cs="Times New Roman"/>
        </w:rPr>
      </w:pPr>
    </w:p>
    <w:p w14:paraId="0F7979E4">
      <w:pPr>
        <w:spacing w:line="360" w:lineRule="auto"/>
        <w:rPr>
          <w:rFonts w:ascii="Times New Roman" w:hAnsi="Times New Roman" w:eastAsia="宋体" w:cs="Times New Roman"/>
        </w:rPr>
      </w:pPr>
      <w:r>
        <w:rPr>
          <w:rFonts w:hint="eastAsia" w:ascii="Times New Roman" w:hAnsi="Times New Roman" w:eastAsia="宋体" w:cs="Times New Roman"/>
        </w:rPr>
        <w:t>34. 弹性预算方法从理论上讲适用于编制全面预算中所有与业务量有关的各种预算，但从实用的角度看，主要用于编制弹性成本费用预算和弹性利润预算。（   ）</w:t>
      </w:r>
    </w:p>
    <w:p w14:paraId="61D09AF2">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23681179">
      <w:pPr>
        <w:spacing w:line="360" w:lineRule="auto"/>
        <w:rPr>
          <w:rFonts w:ascii="Times New Roman" w:hAnsi="Times New Roman" w:eastAsia="宋体" w:cs="Times New Roman"/>
        </w:rPr>
      </w:pPr>
    </w:p>
    <w:p w14:paraId="5DA37AC8">
      <w:pPr>
        <w:spacing w:line="360" w:lineRule="auto"/>
        <w:rPr>
          <w:rFonts w:ascii="Times New Roman" w:hAnsi="Times New Roman" w:eastAsia="宋体" w:cs="Times New Roman"/>
        </w:rPr>
      </w:pPr>
      <w:r>
        <w:rPr>
          <w:rFonts w:hint="eastAsia" w:ascii="Times New Roman" w:hAnsi="Times New Roman" w:eastAsia="宋体" w:cs="Times New Roman"/>
        </w:rPr>
        <w:t>35. 凡变动成本都是决策相关成本；凡固定成本都是决策无关成本。（   ）</w:t>
      </w:r>
    </w:p>
    <w:p w14:paraId="6F4AF98B">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2833ADD0">
      <w:pPr>
        <w:spacing w:line="360" w:lineRule="auto"/>
        <w:rPr>
          <w:rFonts w:ascii="Times New Roman" w:hAnsi="Times New Roman" w:eastAsia="宋体" w:cs="Times New Roman"/>
        </w:rPr>
      </w:pPr>
      <w:r>
        <w:rPr>
          <w:rFonts w:hint="eastAsia" w:ascii="Times New Roman" w:hAnsi="Times New Roman" w:eastAsia="宋体" w:cs="Times New Roman"/>
        </w:rPr>
        <w:t>【解析】专属固定成本属于决策相关成本。</w:t>
      </w:r>
    </w:p>
    <w:p w14:paraId="1BD8A40D">
      <w:pPr>
        <w:spacing w:line="360" w:lineRule="auto"/>
        <w:rPr>
          <w:rFonts w:ascii="Times New Roman" w:hAnsi="Times New Roman" w:eastAsia="宋体" w:cs="Times New Roman"/>
        </w:rPr>
      </w:pPr>
    </w:p>
    <w:p w14:paraId="4AC693B1">
      <w:pPr>
        <w:spacing w:line="360" w:lineRule="auto"/>
        <w:rPr>
          <w:rFonts w:ascii="Times New Roman" w:hAnsi="Times New Roman" w:eastAsia="宋体" w:cs="Times New Roman"/>
        </w:rPr>
      </w:pPr>
      <w:r>
        <w:rPr>
          <w:rFonts w:hint="eastAsia" w:ascii="Times New Roman" w:hAnsi="Times New Roman" w:eastAsia="宋体" w:cs="Times New Roman"/>
        </w:rPr>
        <w:t>36. 利用成本无差别点法作生产经营决策分析时，如果业务量大于成本无差别点时，则应选择固定成本较高的方案。（   ）</w:t>
      </w:r>
    </w:p>
    <w:p w14:paraId="2586923A">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4107CB13">
      <w:pPr>
        <w:spacing w:line="360" w:lineRule="auto"/>
        <w:rPr>
          <w:rFonts w:ascii="Times New Roman" w:hAnsi="Times New Roman" w:eastAsia="宋体" w:cs="Times New Roman"/>
        </w:rPr>
      </w:pPr>
    </w:p>
    <w:p w14:paraId="0A0CAEC7">
      <w:pPr>
        <w:spacing w:line="360" w:lineRule="auto"/>
        <w:rPr>
          <w:rFonts w:ascii="Times New Roman" w:hAnsi="Times New Roman" w:eastAsia="宋体" w:cs="Times New Roman"/>
        </w:rPr>
      </w:pPr>
      <w:r>
        <w:rPr>
          <w:rFonts w:hint="eastAsia" w:ascii="Times New Roman" w:hAnsi="Times New Roman" w:eastAsia="宋体" w:cs="Times New Roman"/>
        </w:rPr>
        <w:t>37. 因为安全边际是正常销售额超过保本点销售额的差额，并表明销售额下降多少企业仍不至于亏损，所以安全边际部分的销售额也就是企业的利润。（   ）</w:t>
      </w:r>
    </w:p>
    <w:p w14:paraId="777EEF18">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3DBE41C9">
      <w:pPr>
        <w:spacing w:line="360" w:lineRule="auto"/>
        <w:rPr>
          <w:rFonts w:ascii="Times New Roman" w:hAnsi="Times New Roman" w:eastAsia="宋体" w:cs="Times New Roman"/>
        </w:rPr>
      </w:pPr>
      <w:r>
        <w:rPr>
          <w:rFonts w:hint="eastAsia" w:ascii="Times New Roman" w:hAnsi="Times New Roman" w:eastAsia="宋体" w:cs="Times New Roman"/>
        </w:rPr>
        <w:t>【解析】安全边际部分的边际贡献是企业的利润。</w:t>
      </w:r>
    </w:p>
    <w:p w14:paraId="2A7C8B0D">
      <w:pPr>
        <w:spacing w:line="360" w:lineRule="auto"/>
        <w:rPr>
          <w:rFonts w:ascii="Times New Roman" w:hAnsi="Times New Roman" w:eastAsia="宋体" w:cs="Times New Roman"/>
        </w:rPr>
      </w:pPr>
    </w:p>
    <w:p w14:paraId="222A87E8">
      <w:pPr>
        <w:spacing w:line="360" w:lineRule="auto"/>
        <w:rPr>
          <w:rFonts w:ascii="Times New Roman" w:hAnsi="Times New Roman" w:eastAsia="宋体" w:cs="Times New Roman"/>
        </w:rPr>
      </w:pPr>
      <w:r>
        <w:rPr>
          <w:rFonts w:hint="eastAsia" w:ascii="Times New Roman" w:hAnsi="Times New Roman" w:eastAsia="宋体" w:cs="Times New Roman"/>
        </w:rPr>
        <w:t>38. 非贴现的投资回收期指标虽然没有考虑资金时间价值，但是考虑了回收期满后的现金流量状况。（   ）</w:t>
      </w:r>
    </w:p>
    <w:p w14:paraId="099BA919">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43BC0599">
      <w:pPr>
        <w:spacing w:line="360" w:lineRule="auto"/>
        <w:rPr>
          <w:rFonts w:ascii="Times New Roman" w:hAnsi="Times New Roman" w:eastAsia="宋体" w:cs="Times New Roman"/>
        </w:rPr>
      </w:pPr>
    </w:p>
    <w:p w14:paraId="0238FEEA">
      <w:pPr>
        <w:spacing w:line="360" w:lineRule="auto"/>
        <w:rPr>
          <w:rFonts w:ascii="Times New Roman" w:hAnsi="Times New Roman" w:eastAsia="宋体" w:cs="Times New Roman"/>
        </w:rPr>
      </w:pPr>
      <w:r>
        <w:rPr>
          <w:rFonts w:hint="eastAsia" w:ascii="Times New Roman" w:hAnsi="Times New Roman" w:eastAsia="宋体" w:cs="Times New Roman"/>
        </w:rPr>
        <w:t>39. 用销售百分比法进行资金预测时，在计算随销售额变动的资产项目基期金额中一定包括固定资产项目。（   ）</w:t>
      </w:r>
    </w:p>
    <w:p w14:paraId="4D89DCE2">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67EF787A">
      <w:pPr>
        <w:spacing w:line="360" w:lineRule="auto"/>
        <w:rPr>
          <w:rFonts w:ascii="Times New Roman" w:hAnsi="Times New Roman" w:eastAsia="宋体" w:cs="Times New Roman"/>
        </w:rPr>
      </w:pPr>
      <w:r>
        <w:rPr>
          <w:rFonts w:hint="eastAsia" w:ascii="Times New Roman" w:hAnsi="Times New Roman" w:eastAsia="宋体" w:cs="Times New Roman"/>
        </w:rPr>
        <w:t>【解析】是否包含固定资产项目取决于产能是否能够满足销售额变化。</w:t>
      </w:r>
    </w:p>
    <w:p w14:paraId="29B0C551">
      <w:pPr>
        <w:spacing w:line="360" w:lineRule="auto"/>
        <w:rPr>
          <w:rFonts w:ascii="Times New Roman" w:hAnsi="Times New Roman" w:eastAsia="宋体" w:cs="Times New Roman"/>
        </w:rPr>
      </w:pPr>
    </w:p>
    <w:p w14:paraId="6252626C">
      <w:pPr>
        <w:spacing w:line="360" w:lineRule="auto"/>
        <w:rPr>
          <w:rFonts w:ascii="Times New Roman" w:hAnsi="Times New Roman" w:eastAsia="宋体" w:cs="Times New Roman"/>
        </w:rPr>
      </w:pPr>
      <w:r>
        <w:rPr>
          <w:rFonts w:hint="eastAsia" w:ascii="Times New Roman" w:hAnsi="Times New Roman" w:eastAsia="宋体" w:cs="Times New Roman"/>
        </w:rPr>
        <w:t>40. 企业为了鼓励客户在规定的时间内付款而给予的现金折扣，应在发生时计入财务费用。（   ）</w:t>
      </w:r>
    </w:p>
    <w:p w14:paraId="698D91CC">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7A4ADAA7">
      <w:pPr>
        <w:spacing w:line="360" w:lineRule="auto"/>
        <w:rPr>
          <w:rFonts w:ascii="Times New Roman" w:hAnsi="Times New Roman" w:eastAsia="宋体" w:cs="Times New Roman"/>
        </w:rPr>
      </w:pPr>
    </w:p>
    <w:p w14:paraId="0F0D6F3E">
      <w:pPr>
        <w:spacing w:line="360" w:lineRule="auto"/>
        <w:rPr>
          <w:rFonts w:ascii="Times New Roman" w:hAnsi="Times New Roman" w:eastAsia="宋体" w:cs="Times New Roman"/>
        </w:rPr>
      </w:pPr>
      <w:r>
        <w:rPr>
          <w:rFonts w:hint="eastAsia" w:ascii="Times New Roman" w:hAnsi="Times New Roman" w:eastAsia="宋体" w:cs="Times New Roman"/>
        </w:rPr>
        <w:t>41. 发生固定资产改扩建支出且符合资本化条件的，应计入相应在建工程成本。（   ）</w:t>
      </w:r>
    </w:p>
    <w:p w14:paraId="4777557B">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1656EE31">
      <w:pPr>
        <w:spacing w:line="360" w:lineRule="auto"/>
        <w:rPr>
          <w:rFonts w:ascii="Times New Roman" w:hAnsi="Times New Roman" w:eastAsia="宋体" w:cs="Times New Roman"/>
        </w:rPr>
      </w:pPr>
    </w:p>
    <w:p w14:paraId="173B4A27">
      <w:pPr>
        <w:spacing w:line="360" w:lineRule="auto"/>
        <w:rPr>
          <w:rFonts w:ascii="Times New Roman" w:hAnsi="Times New Roman" w:eastAsia="宋体" w:cs="Times New Roman"/>
        </w:rPr>
      </w:pPr>
      <w:r>
        <w:rPr>
          <w:rFonts w:hint="eastAsia" w:ascii="Times New Roman" w:hAnsi="Times New Roman" w:eastAsia="宋体" w:cs="Times New Roman"/>
        </w:rPr>
        <w:t>42. 年数总和法不考虑固定资产的预计净残值。（    ）</w:t>
      </w:r>
    </w:p>
    <w:p w14:paraId="382FB827">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7EA8116A">
      <w:pPr>
        <w:spacing w:line="360" w:lineRule="auto"/>
        <w:rPr>
          <w:rFonts w:ascii="Times New Roman" w:hAnsi="Times New Roman" w:eastAsia="宋体" w:cs="Times New Roman"/>
        </w:rPr>
      </w:pPr>
    </w:p>
    <w:p w14:paraId="029C1DFD">
      <w:pPr>
        <w:spacing w:line="360" w:lineRule="auto"/>
        <w:rPr>
          <w:rFonts w:ascii="Times New Roman" w:hAnsi="Times New Roman" w:eastAsia="宋体" w:cs="Times New Roman"/>
        </w:rPr>
      </w:pPr>
      <w:r>
        <w:rPr>
          <w:rFonts w:hint="eastAsia" w:ascii="Times New Roman" w:hAnsi="Times New Roman" w:eastAsia="宋体" w:cs="Times New Roman"/>
        </w:rPr>
        <w:t>43. 股份有限公司溢价发行股票时，按股票面值计入股本，溢价收入扣除发行手续费、佣金等发行费用后的金额计入资本公积。（    ）</w:t>
      </w:r>
    </w:p>
    <w:p w14:paraId="496FD233">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51B79704">
      <w:pPr>
        <w:spacing w:line="360" w:lineRule="auto"/>
        <w:rPr>
          <w:rFonts w:ascii="Times New Roman" w:hAnsi="Times New Roman" w:eastAsia="宋体" w:cs="Times New Roman"/>
        </w:rPr>
      </w:pPr>
    </w:p>
    <w:p w14:paraId="3C11291D">
      <w:pPr>
        <w:spacing w:line="360" w:lineRule="auto"/>
        <w:rPr>
          <w:rFonts w:ascii="Times New Roman" w:hAnsi="Times New Roman" w:eastAsia="宋体" w:cs="Times New Roman"/>
        </w:rPr>
      </w:pPr>
      <w:r>
        <w:rPr>
          <w:rFonts w:hint="eastAsia" w:ascii="Times New Roman" w:hAnsi="Times New Roman" w:eastAsia="宋体" w:cs="Times New Roman"/>
        </w:rPr>
        <w:t>44. 企业接受投资者以非现金资产投资时，应按投资合同或协议约定的价值确认资产的价值和在注册资本中应享有的份额，并将其差额确认为资本公积，但投资合同或协议约定的价值不公允的除外。</w:t>
      </w:r>
    </w:p>
    <w:p w14:paraId="46B4707C">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12F73E97">
      <w:pPr>
        <w:spacing w:line="360" w:lineRule="auto"/>
        <w:rPr>
          <w:rFonts w:ascii="Times New Roman" w:hAnsi="Times New Roman" w:eastAsia="宋体" w:cs="Times New Roman"/>
        </w:rPr>
      </w:pPr>
    </w:p>
    <w:p w14:paraId="64879623">
      <w:pPr>
        <w:spacing w:line="360" w:lineRule="auto"/>
        <w:rPr>
          <w:rFonts w:ascii="Times New Roman" w:hAnsi="Times New Roman" w:eastAsia="宋体" w:cs="Times New Roman"/>
        </w:rPr>
      </w:pPr>
      <w:r>
        <w:rPr>
          <w:rFonts w:hint="eastAsia" w:ascii="Times New Roman" w:hAnsi="Times New Roman" w:eastAsia="宋体" w:cs="Times New Roman"/>
        </w:rPr>
        <w:t>45. 依据“实质重于形式”的要求，对企业按照销售合同销售商品但又签订了售后回购协议的，不应当确认销售收入。（   ）</w:t>
      </w:r>
    </w:p>
    <w:p w14:paraId="3576F8F9">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2EA1A347">
      <w:pPr>
        <w:spacing w:line="360" w:lineRule="auto"/>
        <w:rPr>
          <w:rFonts w:ascii="Times New Roman" w:hAnsi="Times New Roman" w:eastAsia="宋体" w:cs="Times New Roman"/>
        </w:rPr>
      </w:pPr>
    </w:p>
    <w:p w14:paraId="12F051D4">
      <w:pPr>
        <w:spacing w:line="360" w:lineRule="auto"/>
        <w:rPr>
          <w:rFonts w:ascii="Times New Roman" w:hAnsi="Times New Roman" w:eastAsia="宋体" w:cs="Times New Roman"/>
        </w:rPr>
      </w:pPr>
      <w:r>
        <w:rPr>
          <w:rFonts w:hint="eastAsia" w:ascii="Times New Roman" w:hAnsi="Times New Roman" w:eastAsia="宋体" w:cs="Times New Roman"/>
        </w:rPr>
        <w:t>46. 与经营活动无关的固定资产不应计提折旧。（   ）</w:t>
      </w:r>
    </w:p>
    <w:p w14:paraId="42F43800">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52689F0D">
      <w:pPr>
        <w:spacing w:line="360" w:lineRule="auto"/>
        <w:rPr>
          <w:rFonts w:ascii="Times New Roman" w:hAnsi="Times New Roman" w:eastAsia="宋体" w:cs="Times New Roman"/>
        </w:rPr>
      </w:pPr>
      <w:r>
        <w:rPr>
          <w:rFonts w:hint="eastAsia" w:ascii="Times New Roman" w:hAnsi="Times New Roman" w:eastAsia="宋体" w:cs="Times New Roman"/>
        </w:rPr>
        <w:t>【解析】无论固定资产是否与经营活动相关，企业在会计处理上都需要按照会计准则的规定计提折旧。</w:t>
      </w:r>
    </w:p>
    <w:p w14:paraId="3675F050">
      <w:pPr>
        <w:spacing w:line="360" w:lineRule="auto"/>
        <w:rPr>
          <w:rFonts w:ascii="Times New Roman" w:hAnsi="Times New Roman" w:eastAsia="宋体" w:cs="Times New Roman"/>
        </w:rPr>
      </w:pPr>
    </w:p>
    <w:p w14:paraId="287FF7C7">
      <w:pPr>
        <w:spacing w:line="360" w:lineRule="auto"/>
        <w:rPr>
          <w:rFonts w:ascii="Times New Roman" w:hAnsi="Times New Roman" w:eastAsia="宋体" w:cs="Times New Roman"/>
        </w:rPr>
      </w:pPr>
      <w:r>
        <w:rPr>
          <w:rFonts w:hint="eastAsia" w:ascii="Times New Roman" w:hAnsi="Times New Roman" w:eastAsia="宋体" w:cs="Times New Roman"/>
        </w:rPr>
        <w:t>47. 如果无形资产的可收回金额低于其账面价值，说明无形资产发生了减值，应计提无形资产减值准备。（   ）</w:t>
      </w:r>
    </w:p>
    <w:p w14:paraId="05720C6A">
      <w:pPr>
        <w:spacing w:line="360" w:lineRule="auto"/>
        <w:rPr>
          <w:rFonts w:ascii="Times New Roman" w:hAnsi="Times New Roman" w:eastAsia="宋体" w:cs="Times New Roman"/>
        </w:rPr>
      </w:pPr>
      <w:r>
        <w:rPr>
          <w:rFonts w:hint="eastAsia" w:ascii="Times New Roman" w:hAnsi="Times New Roman" w:eastAsia="宋体" w:cs="Times New Roman"/>
        </w:rPr>
        <w:t>【答案】√</w:t>
      </w:r>
    </w:p>
    <w:p w14:paraId="22B26BC8">
      <w:pPr>
        <w:spacing w:line="360" w:lineRule="auto"/>
        <w:rPr>
          <w:rFonts w:ascii="Times New Roman" w:hAnsi="Times New Roman" w:eastAsia="宋体" w:cs="Times New Roman"/>
        </w:rPr>
      </w:pPr>
    </w:p>
    <w:p w14:paraId="05CEA293">
      <w:pPr>
        <w:spacing w:line="360" w:lineRule="auto"/>
        <w:rPr>
          <w:rFonts w:ascii="Times New Roman" w:hAnsi="Times New Roman" w:eastAsia="宋体" w:cs="Times New Roman"/>
        </w:rPr>
      </w:pPr>
      <w:r>
        <w:rPr>
          <w:rFonts w:hint="eastAsia" w:ascii="Times New Roman" w:hAnsi="Times New Roman" w:eastAsia="宋体" w:cs="Times New Roman"/>
        </w:rPr>
        <w:t>48. 在确定未来收回资产或清偿负债期间的应纳税所得额时，将导致产生应税金额的暂时性差异，称为可抵扣暂时性差异。（    ）</w:t>
      </w:r>
    </w:p>
    <w:p w14:paraId="2893C8ED">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3943B0D8">
      <w:pPr>
        <w:spacing w:line="360" w:lineRule="auto"/>
        <w:rPr>
          <w:rFonts w:ascii="Times New Roman" w:hAnsi="Times New Roman" w:eastAsia="宋体" w:cs="Times New Roman"/>
        </w:rPr>
      </w:pPr>
      <w:r>
        <w:rPr>
          <w:rFonts w:hint="eastAsia" w:ascii="Times New Roman" w:hAnsi="Times New Roman" w:eastAsia="宋体" w:cs="Times New Roman"/>
        </w:rPr>
        <w:t>【解析】在确定未来收回资产或清偿负债期间的应纳税所得额时，将导致产生应税金额的暂时性差异，称为应纳税暂时性差异。</w:t>
      </w:r>
    </w:p>
    <w:p w14:paraId="74E427EE">
      <w:pPr>
        <w:spacing w:line="360" w:lineRule="auto"/>
        <w:rPr>
          <w:rFonts w:ascii="Times New Roman" w:hAnsi="Times New Roman" w:eastAsia="宋体" w:cs="Times New Roman"/>
        </w:rPr>
      </w:pPr>
    </w:p>
    <w:p w14:paraId="290600FC">
      <w:pPr>
        <w:spacing w:line="360" w:lineRule="auto"/>
        <w:rPr>
          <w:rFonts w:ascii="Times New Roman" w:hAnsi="Times New Roman" w:eastAsia="宋体" w:cs="Times New Roman"/>
        </w:rPr>
      </w:pPr>
      <w:r>
        <w:rPr>
          <w:rFonts w:hint="eastAsia" w:ascii="Times New Roman" w:hAnsi="Times New Roman" w:eastAsia="宋体" w:cs="Times New Roman"/>
        </w:rPr>
        <w:t>49. 在购置法下，假如支付的总成本高于净资产的公允市价，应将其差额确认为一项费用，计入当期损益。（   ）</w:t>
      </w:r>
    </w:p>
    <w:p w14:paraId="7B8CCEDF">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209FF1E0">
      <w:pPr>
        <w:spacing w:line="360" w:lineRule="auto"/>
        <w:rPr>
          <w:rFonts w:ascii="Times New Roman" w:hAnsi="Times New Roman" w:eastAsia="宋体" w:cs="Times New Roman"/>
        </w:rPr>
      </w:pPr>
      <w:r>
        <w:rPr>
          <w:rFonts w:hint="eastAsia" w:ascii="Times New Roman" w:hAnsi="Times New Roman" w:eastAsia="宋体" w:cs="Times New Roman"/>
        </w:rPr>
        <w:t>【解析】差额应作为商誉处理。</w:t>
      </w:r>
    </w:p>
    <w:p w14:paraId="68645E88">
      <w:pPr>
        <w:spacing w:line="360" w:lineRule="auto"/>
        <w:rPr>
          <w:rFonts w:ascii="Times New Roman" w:hAnsi="Times New Roman" w:eastAsia="宋体" w:cs="Times New Roman"/>
        </w:rPr>
      </w:pPr>
    </w:p>
    <w:p w14:paraId="17F335FE">
      <w:pPr>
        <w:spacing w:line="360" w:lineRule="auto"/>
        <w:rPr>
          <w:rFonts w:ascii="Times New Roman" w:hAnsi="Times New Roman" w:eastAsia="宋体" w:cs="Times New Roman"/>
        </w:rPr>
      </w:pPr>
      <w:r>
        <w:rPr>
          <w:rFonts w:hint="eastAsia" w:ascii="Times New Roman" w:hAnsi="Times New Roman" w:eastAsia="宋体" w:cs="Times New Roman"/>
        </w:rPr>
        <w:t>50.  A企业拥有B企业20%的股权，B企业的股东C企业将其在B企业的40%的股权委托A企业管理，在这种情况下，A企业在编制合并会计报表时，应将B企业视为其子企业。（   ）</w:t>
      </w:r>
    </w:p>
    <w:p w14:paraId="1C30B3FB">
      <w:pPr>
        <w:spacing w:line="360" w:lineRule="auto"/>
        <w:rPr>
          <w:rFonts w:ascii="Times New Roman" w:hAnsi="Times New Roman" w:eastAsia="宋体" w:cs="Times New Roman"/>
        </w:rPr>
      </w:pPr>
      <w:r>
        <w:rPr>
          <w:rFonts w:hint="eastAsia" w:ascii="Times New Roman" w:hAnsi="Times New Roman" w:eastAsia="宋体" w:cs="Times New Roman"/>
        </w:rPr>
        <w:t>【答案】√</w:t>
      </w:r>
    </w:p>
    <w:p w14:paraId="3DFBA75B">
      <w:pPr>
        <w:spacing w:line="360" w:lineRule="auto"/>
        <w:rPr>
          <w:rFonts w:ascii="Times New Roman" w:hAnsi="Times New Roman" w:eastAsia="宋体" w:cs="Times New Roman"/>
        </w:rPr>
      </w:pPr>
    </w:p>
    <w:p w14:paraId="6E6287E2">
      <w:pPr>
        <w:spacing w:line="360" w:lineRule="auto"/>
        <w:rPr>
          <w:rFonts w:ascii="Times New Roman" w:hAnsi="Times New Roman" w:eastAsia="宋体" w:cs="Times New Roman"/>
        </w:rPr>
      </w:pPr>
      <w:r>
        <w:rPr>
          <w:rFonts w:hint="eastAsia" w:ascii="Times New Roman" w:hAnsi="Times New Roman" w:eastAsia="宋体" w:cs="Times New Roman"/>
        </w:rPr>
        <w:t>51. A公司是一家成衣制造商，为了确定以后战略，高层请人对公司进行了SWOT分析，经过分析，认为A公司外部面临巨大的机会，却受到内部劣势的限制，那么A公司应该采取的战略是防御型战略。（     ）</w:t>
      </w:r>
    </w:p>
    <w:p w14:paraId="6EA52BFF">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0A8E7250">
      <w:pPr>
        <w:spacing w:line="360" w:lineRule="auto"/>
        <w:rPr>
          <w:rFonts w:ascii="Times New Roman" w:hAnsi="Times New Roman" w:eastAsia="宋体" w:cs="Times New Roman"/>
        </w:rPr>
      </w:pPr>
      <w:r>
        <w:rPr>
          <w:rFonts w:hint="eastAsia" w:ascii="Times New Roman" w:hAnsi="Times New Roman" w:eastAsia="宋体" w:cs="Times New Roman"/>
        </w:rPr>
        <w:t>【解析】面临着巨大的外部机会，却受到内部劣势的限制的企业，应采用扭转型战略，充分利用环境带来的机会，设法清除劣势。</w:t>
      </w:r>
    </w:p>
    <w:p w14:paraId="018DBAA3">
      <w:pPr>
        <w:spacing w:line="360" w:lineRule="auto"/>
        <w:rPr>
          <w:rFonts w:ascii="Times New Roman" w:hAnsi="Times New Roman" w:eastAsia="宋体" w:cs="Times New Roman"/>
        </w:rPr>
      </w:pPr>
    </w:p>
    <w:p w14:paraId="0492988B">
      <w:pPr>
        <w:spacing w:line="360" w:lineRule="auto"/>
        <w:rPr>
          <w:rFonts w:ascii="Times New Roman" w:hAnsi="Times New Roman" w:eastAsia="宋体" w:cs="Times New Roman"/>
        </w:rPr>
      </w:pPr>
      <w:r>
        <w:rPr>
          <w:rFonts w:hint="eastAsia" w:ascii="Times New Roman" w:hAnsi="Times New Roman" w:eastAsia="宋体" w:cs="Times New Roman"/>
        </w:rPr>
        <w:t>52. 甲企业利用通用矩阵的原理，根据业务的产业吸引力以及竞争地位，将各项业务在矩阵图中一一标识出来。包装业务是甲企业最核心的业务，产业吸引力很高，在同行业中具有很大的竞争优势。针对包装业务，甲企业适合采用增长、发展战略。（    ）</w:t>
      </w:r>
    </w:p>
    <w:p w14:paraId="2EEECC78">
      <w:pPr>
        <w:spacing w:line="360" w:lineRule="auto"/>
        <w:rPr>
          <w:rFonts w:ascii="Times New Roman" w:hAnsi="Times New Roman" w:eastAsia="宋体" w:cs="Times New Roman"/>
        </w:rPr>
      </w:pPr>
      <w:r>
        <w:rPr>
          <w:rFonts w:hint="eastAsia" w:ascii="Times New Roman" w:hAnsi="Times New Roman" w:eastAsia="宋体" w:cs="Times New Roman"/>
        </w:rPr>
        <w:t>【答案】√</w:t>
      </w:r>
    </w:p>
    <w:p w14:paraId="46AE58EF">
      <w:pPr>
        <w:spacing w:line="360" w:lineRule="auto"/>
        <w:rPr>
          <w:rFonts w:ascii="Times New Roman" w:hAnsi="Times New Roman" w:eastAsia="宋体" w:cs="Times New Roman"/>
        </w:rPr>
      </w:pPr>
    </w:p>
    <w:p w14:paraId="127DEA59">
      <w:pPr>
        <w:spacing w:line="360" w:lineRule="auto"/>
        <w:rPr>
          <w:rFonts w:ascii="Times New Roman" w:hAnsi="Times New Roman" w:eastAsia="宋体" w:cs="Times New Roman"/>
        </w:rPr>
      </w:pPr>
      <w:r>
        <w:rPr>
          <w:rFonts w:hint="eastAsia" w:ascii="Times New Roman" w:hAnsi="Times New Roman" w:eastAsia="宋体" w:cs="Times New Roman"/>
        </w:rPr>
        <w:t>53. 某企业生产产品使用的资产是高度专用化的，这能够增强企业对其供应商的谈判能力。（     ）</w:t>
      </w:r>
    </w:p>
    <w:p w14:paraId="3160A5AD">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7E23414E">
      <w:pPr>
        <w:spacing w:line="360" w:lineRule="auto"/>
        <w:rPr>
          <w:rFonts w:ascii="Times New Roman" w:hAnsi="Times New Roman" w:eastAsia="宋体" w:cs="Times New Roman"/>
        </w:rPr>
      </w:pPr>
      <w:r>
        <w:rPr>
          <w:rFonts w:hint="eastAsia" w:ascii="Times New Roman" w:hAnsi="Times New Roman" w:eastAsia="宋体" w:cs="Times New Roman"/>
        </w:rPr>
        <w:t>【解析】 生产产品使用的资产高度专用化会降低购买者的讨价还价能力。</w:t>
      </w:r>
    </w:p>
    <w:p w14:paraId="6A7081AF">
      <w:pPr>
        <w:spacing w:line="360" w:lineRule="auto"/>
        <w:rPr>
          <w:rFonts w:ascii="Times New Roman" w:hAnsi="Times New Roman" w:eastAsia="宋体" w:cs="Times New Roman"/>
        </w:rPr>
      </w:pPr>
    </w:p>
    <w:p w14:paraId="0C77E844">
      <w:pPr>
        <w:spacing w:line="360" w:lineRule="auto"/>
        <w:rPr>
          <w:rFonts w:ascii="Times New Roman" w:hAnsi="Times New Roman" w:eastAsia="宋体" w:cs="Times New Roman"/>
        </w:rPr>
      </w:pPr>
      <w:r>
        <w:rPr>
          <w:rFonts w:hint="eastAsia" w:ascii="Times New Roman" w:hAnsi="Times New Roman" w:eastAsia="宋体" w:cs="Times New Roman"/>
        </w:rPr>
        <w:t>54. 甲企业的主营业务是生产日用品，其所在产业面向的消费者通常不太关注品牌，而且大多数购买者以同样的方式使用该产品。综上所述，甲企业适合采取的业务单位战略是集中差异化战略。 （   ）</w:t>
      </w:r>
    </w:p>
    <w:p w14:paraId="16F47DC7">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073BED80">
      <w:pPr>
        <w:spacing w:line="360" w:lineRule="auto"/>
        <w:rPr>
          <w:rFonts w:ascii="Times New Roman" w:hAnsi="Times New Roman" w:eastAsia="宋体" w:cs="Times New Roman"/>
        </w:rPr>
      </w:pPr>
      <w:r>
        <w:rPr>
          <w:rFonts w:hint="eastAsia" w:ascii="Times New Roman" w:hAnsi="Times New Roman" w:eastAsia="宋体" w:cs="Times New Roman"/>
        </w:rPr>
        <w:t>【解析】 由于甲企业所在的整个产业的消费者不太关注品牌，大多数购买者以同样的方式使用产品，所以适合采取成本领先战略。</w:t>
      </w:r>
    </w:p>
    <w:p w14:paraId="18A9AABF">
      <w:pPr>
        <w:spacing w:line="360" w:lineRule="auto"/>
        <w:rPr>
          <w:rFonts w:ascii="Times New Roman" w:hAnsi="Times New Roman" w:eastAsia="宋体" w:cs="Times New Roman"/>
        </w:rPr>
      </w:pPr>
    </w:p>
    <w:p w14:paraId="2BF70CAF">
      <w:pPr>
        <w:spacing w:line="360" w:lineRule="auto"/>
        <w:rPr>
          <w:rFonts w:ascii="Times New Roman" w:hAnsi="Times New Roman" w:eastAsia="宋体" w:cs="Times New Roman"/>
        </w:rPr>
      </w:pPr>
      <w:r>
        <w:rPr>
          <w:rFonts w:hint="eastAsia" w:ascii="Times New Roman" w:hAnsi="Times New Roman" w:eastAsia="宋体" w:cs="Times New Roman"/>
        </w:rPr>
        <w:t>55. 波特五种竞争力分析模型中的潜在进入者进入威胁，现有企业竞争威胁、替代品的替代威胁都是引发风险的主要因素，这些因素引发的风险属于运营风险。 （    ）</w:t>
      </w:r>
    </w:p>
    <w:p w14:paraId="51198550">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13F512DA">
      <w:pPr>
        <w:spacing w:line="360" w:lineRule="auto"/>
        <w:rPr>
          <w:rFonts w:ascii="Times New Roman" w:hAnsi="Times New Roman" w:eastAsia="宋体" w:cs="Times New Roman"/>
        </w:rPr>
      </w:pPr>
      <w:r>
        <w:rPr>
          <w:rFonts w:hint="eastAsia" w:ascii="Times New Roman" w:hAnsi="Times New Roman" w:eastAsia="宋体" w:cs="Times New Roman"/>
        </w:rPr>
        <w:t>【解析】本题中引发的风险属于市场风险。</w:t>
      </w:r>
    </w:p>
    <w:p w14:paraId="55B7CF34">
      <w:pPr>
        <w:spacing w:line="360" w:lineRule="auto"/>
        <w:rPr>
          <w:rFonts w:ascii="Times New Roman" w:hAnsi="Times New Roman" w:eastAsia="宋体" w:cs="Times New Roman"/>
        </w:rPr>
      </w:pPr>
    </w:p>
    <w:p w14:paraId="774F8E22">
      <w:pPr>
        <w:spacing w:line="360" w:lineRule="auto"/>
        <w:rPr>
          <w:rFonts w:ascii="Times New Roman" w:hAnsi="Times New Roman" w:eastAsia="宋体" w:cs="Times New Roman"/>
        </w:rPr>
      </w:pPr>
      <w:r>
        <w:rPr>
          <w:rFonts w:hint="eastAsia" w:ascii="Times New Roman" w:hAnsi="Times New Roman" w:eastAsia="宋体" w:cs="Times New Roman"/>
        </w:rPr>
        <w:t>56. 注册会计师会对财务报告内部控制的有效性发表审计意见，如果在审计过程中注意到的非财务报告内部控制的重大缺陷，要在其内部控制审计报告中增加“非财务报告内部控制重大缺陷描述段”予以披露。（   ）</w:t>
      </w:r>
    </w:p>
    <w:p w14:paraId="011D319B">
      <w:pPr>
        <w:spacing w:line="360" w:lineRule="auto"/>
        <w:rPr>
          <w:rFonts w:ascii="Times New Roman" w:hAnsi="Times New Roman" w:eastAsia="宋体" w:cs="Times New Roman"/>
        </w:rPr>
      </w:pPr>
      <w:r>
        <w:rPr>
          <w:rFonts w:hint="eastAsia" w:ascii="Times New Roman" w:hAnsi="Times New Roman" w:eastAsia="宋体" w:cs="Times New Roman"/>
        </w:rPr>
        <w:t>【答案】√</w:t>
      </w:r>
    </w:p>
    <w:p w14:paraId="67E29390">
      <w:pPr>
        <w:spacing w:line="360" w:lineRule="auto"/>
        <w:rPr>
          <w:rFonts w:ascii="Times New Roman" w:hAnsi="Times New Roman" w:eastAsia="宋体" w:cs="Times New Roman"/>
        </w:rPr>
      </w:pPr>
    </w:p>
    <w:p w14:paraId="182CA125">
      <w:pPr>
        <w:spacing w:line="360" w:lineRule="auto"/>
        <w:rPr>
          <w:rFonts w:ascii="Times New Roman" w:hAnsi="Times New Roman" w:eastAsia="宋体" w:cs="Times New Roman"/>
        </w:rPr>
      </w:pPr>
      <w:r>
        <w:rPr>
          <w:rFonts w:hint="eastAsia" w:ascii="Times New Roman" w:hAnsi="Times New Roman" w:eastAsia="宋体" w:cs="Times New Roman"/>
        </w:rPr>
        <w:t>57. 甲律师事务所系经司法部门批准成立的我国最早的合伙制律师事务所。今年该所与国内的另一律师事务所进行了合并。甲律师事务所的合并战略属于市场渗透战略。（   ）</w:t>
      </w:r>
    </w:p>
    <w:p w14:paraId="1CE5F925">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00F58EBF">
      <w:pPr>
        <w:spacing w:line="360" w:lineRule="auto"/>
        <w:rPr>
          <w:rFonts w:ascii="Times New Roman" w:hAnsi="Times New Roman" w:eastAsia="宋体" w:cs="Times New Roman"/>
        </w:rPr>
      </w:pPr>
      <w:r>
        <w:rPr>
          <w:rFonts w:hint="eastAsia" w:ascii="Times New Roman" w:hAnsi="Times New Roman" w:eastAsia="宋体" w:cs="Times New Roman"/>
        </w:rPr>
        <w:t>【解析】 甲律师事务所的合并战略属于横向一体化战略。</w:t>
      </w:r>
    </w:p>
    <w:p w14:paraId="76E32BEB">
      <w:pPr>
        <w:spacing w:line="360" w:lineRule="auto"/>
        <w:rPr>
          <w:rFonts w:ascii="Times New Roman" w:hAnsi="Times New Roman" w:eastAsia="宋体" w:cs="Times New Roman"/>
        </w:rPr>
      </w:pPr>
    </w:p>
    <w:p w14:paraId="465D090D">
      <w:pPr>
        <w:spacing w:line="360" w:lineRule="auto"/>
        <w:rPr>
          <w:rFonts w:ascii="Times New Roman" w:hAnsi="Times New Roman" w:eastAsia="宋体" w:cs="Times New Roman"/>
        </w:rPr>
      </w:pPr>
      <w:r>
        <w:rPr>
          <w:rFonts w:hint="eastAsia" w:ascii="Times New Roman" w:hAnsi="Times New Roman" w:eastAsia="宋体" w:cs="Times New Roman"/>
        </w:rPr>
        <w:t>58. 公司向银行举借长期债务时，如预测市场利率上升，应与银行签订浮动利率借款合同。                                                        （    ）</w:t>
      </w:r>
    </w:p>
    <w:p w14:paraId="1906E2E2">
      <w:pPr>
        <w:spacing w:line="360" w:lineRule="auto"/>
        <w:rPr>
          <w:rFonts w:ascii="Times New Roman" w:hAnsi="Times New Roman" w:eastAsia="宋体" w:cs="Times New Roman"/>
        </w:rPr>
      </w:pPr>
      <w:r>
        <w:rPr>
          <w:rFonts w:hint="eastAsia" w:ascii="Times New Roman" w:hAnsi="Times New Roman" w:eastAsia="宋体" w:cs="Times New Roman"/>
        </w:rPr>
        <w:t>【答案】 ×</w:t>
      </w:r>
    </w:p>
    <w:p w14:paraId="1DC4344E">
      <w:pPr>
        <w:spacing w:line="360" w:lineRule="auto"/>
        <w:rPr>
          <w:rFonts w:ascii="Times New Roman" w:hAnsi="Times New Roman" w:eastAsia="宋体" w:cs="Times New Roman"/>
        </w:rPr>
      </w:pPr>
      <w:r>
        <w:rPr>
          <w:rFonts w:hint="eastAsia" w:ascii="Times New Roman" w:hAnsi="Times New Roman" w:eastAsia="宋体" w:cs="Times New Roman"/>
        </w:rPr>
        <w:t>【解析】 公司应与银行签订固定利率借款合同。</w:t>
      </w:r>
    </w:p>
    <w:p w14:paraId="39EAC5C8">
      <w:pPr>
        <w:spacing w:line="360" w:lineRule="auto"/>
        <w:rPr>
          <w:rFonts w:ascii="Times New Roman" w:hAnsi="Times New Roman" w:eastAsia="宋体" w:cs="Times New Roman"/>
        </w:rPr>
      </w:pPr>
    </w:p>
    <w:p w14:paraId="1B49C033">
      <w:pPr>
        <w:spacing w:line="360" w:lineRule="auto"/>
        <w:rPr>
          <w:rFonts w:ascii="Times New Roman" w:hAnsi="Times New Roman" w:eastAsia="宋体" w:cs="Times New Roman"/>
        </w:rPr>
      </w:pPr>
      <w:r>
        <w:rPr>
          <w:rFonts w:hint="eastAsia" w:ascii="Times New Roman" w:hAnsi="Times New Roman" w:eastAsia="宋体" w:cs="Times New Roman"/>
        </w:rPr>
        <w:t>59. 如果负债为零，则财务杠杆系数为1。（    ）</w:t>
      </w:r>
    </w:p>
    <w:p w14:paraId="3ACFDD07">
      <w:pPr>
        <w:spacing w:line="360" w:lineRule="auto"/>
        <w:rPr>
          <w:rFonts w:ascii="Times New Roman" w:hAnsi="Times New Roman" w:eastAsia="宋体" w:cs="Times New Roman"/>
        </w:rPr>
      </w:pPr>
      <w:r>
        <w:rPr>
          <w:rFonts w:hint="eastAsia" w:ascii="Times New Roman" w:hAnsi="Times New Roman" w:eastAsia="宋体" w:cs="Times New Roman"/>
        </w:rPr>
        <w:t>【答案】√</w:t>
      </w:r>
    </w:p>
    <w:p w14:paraId="4B50BEEC">
      <w:pPr>
        <w:spacing w:line="360" w:lineRule="auto"/>
        <w:rPr>
          <w:rFonts w:ascii="Times New Roman" w:hAnsi="Times New Roman" w:eastAsia="宋体" w:cs="Times New Roman"/>
        </w:rPr>
      </w:pPr>
    </w:p>
    <w:p w14:paraId="22627A43">
      <w:pPr>
        <w:spacing w:line="360" w:lineRule="auto"/>
        <w:rPr>
          <w:rFonts w:ascii="Times New Roman" w:hAnsi="Times New Roman" w:eastAsia="宋体" w:cs="Times New Roman"/>
        </w:rPr>
      </w:pPr>
      <w:r>
        <w:rPr>
          <w:rFonts w:hint="eastAsia" w:ascii="Times New Roman" w:hAnsi="Times New Roman" w:eastAsia="宋体" w:cs="Times New Roman"/>
        </w:rPr>
        <w:t>60. 某投资方案,当贴现率为10%时,其净现值为2万元,当贴现率为12%时,其净现值为-1万元。则该方案旳内部收益率高于10%,但低于12%。（    ）</w:t>
      </w:r>
    </w:p>
    <w:p w14:paraId="2D0C7B62">
      <w:pPr>
        <w:spacing w:line="360" w:lineRule="auto"/>
        <w:rPr>
          <w:rFonts w:ascii="Times New Roman" w:hAnsi="Times New Roman" w:eastAsia="宋体" w:cs="Times New Roman"/>
        </w:rPr>
      </w:pPr>
      <w:r>
        <w:rPr>
          <w:rFonts w:hint="eastAsia" w:ascii="Times New Roman" w:hAnsi="Times New Roman" w:eastAsia="宋体" w:cs="Times New Roman"/>
        </w:rPr>
        <w:t>【答案】√</w:t>
      </w:r>
    </w:p>
    <w:p w14:paraId="2BA27DC9">
      <w:pPr>
        <w:spacing w:line="360" w:lineRule="auto"/>
        <w:rPr>
          <w:rFonts w:ascii="Times New Roman" w:hAnsi="Times New Roman" w:eastAsia="宋体"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7D3"/>
    <w:rsid w:val="00002103"/>
    <w:rsid w:val="00036E40"/>
    <w:rsid w:val="00074845"/>
    <w:rsid w:val="000A7079"/>
    <w:rsid w:val="000B18D6"/>
    <w:rsid w:val="000B2137"/>
    <w:rsid w:val="000C0314"/>
    <w:rsid w:val="000E4C20"/>
    <w:rsid w:val="00132EAC"/>
    <w:rsid w:val="001443A9"/>
    <w:rsid w:val="00182318"/>
    <w:rsid w:val="00184DFE"/>
    <w:rsid w:val="001A5DD2"/>
    <w:rsid w:val="001C0BDF"/>
    <w:rsid w:val="00226331"/>
    <w:rsid w:val="002317F3"/>
    <w:rsid w:val="0024733C"/>
    <w:rsid w:val="00254951"/>
    <w:rsid w:val="00266C91"/>
    <w:rsid w:val="0027787D"/>
    <w:rsid w:val="002A6D51"/>
    <w:rsid w:val="003100E0"/>
    <w:rsid w:val="003727D3"/>
    <w:rsid w:val="0039588F"/>
    <w:rsid w:val="003B6DB3"/>
    <w:rsid w:val="003D2E14"/>
    <w:rsid w:val="004147FE"/>
    <w:rsid w:val="00414ED3"/>
    <w:rsid w:val="004611FE"/>
    <w:rsid w:val="004630F7"/>
    <w:rsid w:val="004D4E9E"/>
    <w:rsid w:val="004E7975"/>
    <w:rsid w:val="004F0B69"/>
    <w:rsid w:val="00547D09"/>
    <w:rsid w:val="005674D7"/>
    <w:rsid w:val="005972D8"/>
    <w:rsid w:val="00640B55"/>
    <w:rsid w:val="00654E4E"/>
    <w:rsid w:val="006625AD"/>
    <w:rsid w:val="00666943"/>
    <w:rsid w:val="00690EF6"/>
    <w:rsid w:val="00693C8D"/>
    <w:rsid w:val="006C2421"/>
    <w:rsid w:val="00723734"/>
    <w:rsid w:val="007638ED"/>
    <w:rsid w:val="00783817"/>
    <w:rsid w:val="007A76AB"/>
    <w:rsid w:val="007C7B8B"/>
    <w:rsid w:val="007E4361"/>
    <w:rsid w:val="008233E5"/>
    <w:rsid w:val="008518D3"/>
    <w:rsid w:val="00871A68"/>
    <w:rsid w:val="008A08F0"/>
    <w:rsid w:val="008C6F82"/>
    <w:rsid w:val="00900B08"/>
    <w:rsid w:val="00922059"/>
    <w:rsid w:val="0092270E"/>
    <w:rsid w:val="0092795D"/>
    <w:rsid w:val="009743CB"/>
    <w:rsid w:val="00983AA5"/>
    <w:rsid w:val="009C02A8"/>
    <w:rsid w:val="009D468E"/>
    <w:rsid w:val="009F0CBA"/>
    <w:rsid w:val="00A50DF1"/>
    <w:rsid w:val="00A8536D"/>
    <w:rsid w:val="00AD0865"/>
    <w:rsid w:val="00B100DF"/>
    <w:rsid w:val="00B53137"/>
    <w:rsid w:val="00B61B07"/>
    <w:rsid w:val="00B7622B"/>
    <w:rsid w:val="00BB246C"/>
    <w:rsid w:val="00BB4331"/>
    <w:rsid w:val="00BE4E1E"/>
    <w:rsid w:val="00C43F92"/>
    <w:rsid w:val="00C45D95"/>
    <w:rsid w:val="00C51C88"/>
    <w:rsid w:val="00C577DE"/>
    <w:rsid w:val="00C72A77"/>
    <w:rsid w:val="00CD560A"/>
    <w:rsid w:val="00CD705A"/>
    <w:rsid w:val="00D41092"/>
    <w:rsid w:val="00D860C3"/>
    <w:rsid w:val="00D86A9E"/>
    <w:rsid w:val="00D93DF6"/>
    <w:rsid w:val="00DF3947"/>
    <w:rsid w:val="00EE08A7"/>
    <w:rsid w:val="00EF3EBE"/>
    <w:rsid w:val="00F24096"/>
    <w:rsid w:val="00F361C4"/>
    <w:rsid w:val="00F60719"/>
    <w:rsid w:val="00FA101A"/>
    <w:rsid w:val="00FA44E8"/>
    <w:rsid w:val="00FE1B67"/>
    <w:rsid w:val="705B1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uiPriority w:val="99"/>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4381</Words>
  <Characters>4521</Characters>
  <Lines>36</Lines>
  <Paragraphs>10</Paragraphs>
  <TotalTime>1</TotalTime>
  <ScaleCrop>false</ScaleCrop>
  <LinksUpToDate>false</LinksUpToDate>
  <CharactersWithSpaces>4897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2024-11-20T02:23:00Z</dcterms:created>
  <dc:creator>峰 洪</dc:creator>
  <cp:lastModifiedBy>赵梦娜</cp:lastModifiedBy>
  <dcterms:modified xsi:type="dcterms:W3CDTF">2025-08-13T06:13:19Z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eyJoZGlkIjoiZTJhNDZlNjA0MDcyNjE3N2EwNjUzOWI2MWU4OWIxYWYiLCJ1c2VySWQiOiI1MjY5NTE1NjAifQ==</vt:lpwstr>
  </property>
  <property fmtid="{D5CDD505-2E9C-101B-9397-08002B2CF9AE}" pid="3" name="KSOProductBuildVer">
    <vt:lpwstr>2052-12.1.0.21915</vt:lpwstr>
  </property>
  <property fmtid="{D5CDD505-2E9C-101B-9397-08002B2CF9AE}" pid="4" name="ICV">
    <vt:lpwstr>CE41DA43752B4DA292FAD9268B362BCA_12</vt:lpwstr>
  </property>
</Properties>
</file>