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A75436D">
      <w:pPr>
        <w:pStyle w:val="style0"/>
        <w:spacing w:lineRule="auto" w:line="360"/>
        <w:jc w:val="center"/>
        <w:rPr>
          <w:rFonts w:ascii="黑体" w:eastAsia="黑体" w:hAnsi="黑体" w:hint="default"/>
          <w:b/>
          <w:bCs/>
          <w:sz w:val="44"/>
          <w:szCs w:val="44"/>
          <w:lang w:val="en-US" w:eastAsia="zh-CN"/>
        </w:rPr>
      </w:pPr>
      <w:r>
        <w:rPr>
          <w:rFonts w:ascii="黑体" w:eastAsia="黑体" w:hAnsi="黑体" w:hint="eastAsia"/>
          <w:b/>
          <w:bCs/>
          <w:sz w:val="44"/>
          <w:szCs w:val="44"/>
          <w:lang w:val="en-US" w:eastAsia="zh-CN"/>
        </w:rPr>
        <w:t>2026年单项奖学金材料规范</w:t>
      </w:r>
    </w:p>
    <w:p w14:paraId="1ED6C5FE">
      <w:pPr>
        <w:pStyle w:val="style0"/>
        <w:spacing w:lineRule="auto" w:line="3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一．有关申请材料的相关事宜</w:t>
      </w:r>
    </w:p>
    <w:p w14:paraId="0A3F2BD6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/>
          <w:sz w:val="28"/>
          <w:szCs w:val="28"/>
        </w:rPr>
      </w:pPr>
      <w:r>
        <w:rPr>
          <w:rFonts w:ascii="仿宋" w:cs="宋体" w:eastAsia="仿宋" w:hAnsi="仿宋" w:hint="default"/>
          <w:kern w:val="2"/>
          <w:sz w:val="28"/>
          <w:szCs w:val="28"/>
          <w:lang w:val="en-US" w:bidi="ar-SA" w:eastAsia="zh-CN"/>
        </w:rPr>
        <w:t>1.</w:t>
      </w:r>
      <w:r>
        <w:rPr>
          <w:rFonts w:ascii="仿宋" w:eastAsia="仿宋" w:hAnsi="仿宋" w:hint="eastAsia"/>
          <w:sz w:val="28"/>
          <w:szCs w:val="28"/>
        </w:rPr>
        <w:t>单项奖学金申请表上的竞赛名称要与竞赛目录中的名称一致。</w:t>
      </w:r>
    </w:p>
    <w:p w14:paraId="6158CC0A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/>
          <w:sz w:val="28"/>
          <w:szCs w:val="28"/>
        </w:rPr>
      </w:pPr>
      <w:r>
        <w:rPr>
          <w:rFonts w:ascii="仿宋" w:cs="宋体" w:eastAsia="仿宋" w:hAnsi="仿宋" w:hint="default"/>
          <w:kern w:val="2"/>
          <w:sz w:val="28"/>
          <w:szCs w:val="28"/>
          <w:lang w:val="en-US" w:bidi="ar-SA" w:eastAsia="zh-CN"/>
        </w:rPr>
        <w:t>2.</w:t>
      </w:r>
      <w:r>
        <w:rPr>
          <w:rFonts w:ascii="仿宋" w:eastAsia="仿宋" w:hAnsi="仿宋" w:hint="eastAsia"/>
          <w:sz w:val="28"/>
          <w:szCs w:val="28"/>
        </w:rPr>
        <w:t>获奖时间（以证书上的时间为准）为202</w:t>
      </w:r>
      <w:r>
        <w:rPr>
          <w:rFonts w:ascii="仿宋" w:eastAsia="仿宋" w:hAnsi="仿宋" w:hint="eastAsia"/>
          <w:sz w:val="28"/>
          <w:szCs w:val="28"/>
          <w:lang w:val="en-US" w:eastAsia="zh-CN"/>
        </w:rPr>
        <w:t>5</w:t>
      </w:r>
      <w:r>
        <w:rPr>
          <w:rFonts w:ascii="仿宋" w:eastAsia="仿宋" w:hAnsi="仿宋" w:hint="eastAsia"/>
          <w:sz w:val="28"/>
          <w:szCs w:val="28"/>
        </w:rPr>
        <w:t>年9月1日到202</w:t>
      </w:r>
      <w:r>
        <w:rPr>
          <w:rFonts w:ascii="仿宋" w:eastAsia="仿宋" w:hAnsi="仿宋" w:hint="eastAsia"/>
          <w:sz w:val="28"/>
          <w:szCs w:val="28"/>
          <w:lang w:val="en-US" w:eastAsia="zh-CN"/>
        </w:rPr>
        <w:t>6</w:t>
      </w:r>
      <w:r>
        <w:rPr>
          <w:rFonts w:ascii="仿宋" w:eastAsia="仿宋" w:hAnsi="仿宋" w:hint="eastAsia"/>
          <w:sz w:val="28"/>
          <w:szCs w:val="28"/>
        </w:rPr>
        <w:t>年8月31日之间才能申请。</w:t>
      </w:r>
    </w:p>
    <w:p w14:paraId="427A277B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/>
          <w:sz w:val="28"/>
          <w:szCs w:val="28"/>
        </w:rPr>
      </w:pPr>
      <w:r>
        <w:rPr>
          <w:rFonts w:ascii="仿宋" w:cs="宋体" w:eastAsia="仿宋" w:hAnsi="仿宋" w:hint="default"/>
          <w:kern w:val="2"/>
          <w:sz w:val="28"/>
          <w:szCs w:val="28"/>
          <w:lang w:val="en-US" w:bidi="ar-SA" w:eastAsia="zh-CN"/>
        </w:rPr>
        <w:t>3.</w:t>
      </w:r>
      <w:r>
        <w:rPr>
          <w:rFonts w:ascii="仿宋" w:eastAsia="仿宋" w:hAnsi="仿宋" w:hint="eastAsia"/>
          <w:sz w:val="28"/>
          <w:szCs w:val="28"/>
          <w:lang w:val="en-US" w:eastAsia="zh-CN"/>
        </w:rPr>
        <w:t>获奖作证材料仅限证书，获奖证明不能作为佐证材料。</w:t>
      </w:r>
    </w:p>
    <w:p w14:paraId="0A386F49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/>
          <w:sz w:val="28"/>
          <w:szCs w:val="28"/>
        </w:rPr>
      </w:pPr>
      <w:r>
        <w:rPr>
          <w:rFonts w:ascii="仿宋" w:cs="宋体" w:eastAsia="仿宋" w:hAnsi="仿宋" w:hint="default"/>
          <w:kern w:val="2"/>
          <w:sz w:val="28"/>
          <w:szCs w:val="28"/>
          <w:lang w:val="en-US" w:bidi="ar-SA" w:eastAsia="zh-CN"/>
        </w:rPr>
        <w:t>4.</w:t>
      </w:r>
      <w:r>
        <w:rPr>
          <w:rFonts w:ascii="仿宋" w:eastAsia="仿宋" w:hAnsi="仿宋" w:hint="eastAsia"/>
          <w:sz w:val="28"/>
          <w:szCs w:val="28"/>
        </w:rPr>
        <w:t>申请表上学院写全称。</w:t>
      </w:r>
    </w:p>
    <w:p w14:paraId="350E5370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/>
          <w:sz w:val="28"/>
          <w:szCs w:val="28"/>
        </w:rPr>
      </w:pPr>
      <w:r>
        <w:rPr>
          <w:rFonts w:ascii="仿宋" w:cs="宋体" w:eastAsia="仿宋" w:hAnsi="仿宋" w:hint="default"/>
          <w:kern w:val="2"/>
          <w:sz w:val="28"/>
          <w:szCs w:val="28"/>
          <w:lang w:val="en-US" w:bidi="ar-SA" w:eastAsia="zh-CN"/>
        </w:rPr>
        <w:t>5.</w:t>
      </w:r>
      <w:r>
        <w:rPr>
          <w:rFonts w:ascii="仿宋" w:eastAsia="仿宋" w:hAnsi="仿宋" w:hint="eastAsia"/>
          <w:sz w:val="28"/>
          <w:szCs w:val="28"/>
        </w:rPr>
        <w:t>金额总和要与应发放金额一致。</w:t>
      </w:r>
    </w:p>
    <w:p w14:paraId="2FF55080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 w:hint="eastAsia"/>
          <w:sz w:val="28"/>
          <w:szCs w:val="28"/>
        </w:rPr>
      </w:pPr>
      <w:r>
        <w:rPr>
          <w:rFonts w:ascii="仿宋" w:cs="宋体" w:eastAsia="仿宋" w:hAnsi="仿宋" w:hint="default"/>
          <w:kern w:val="2"/>
          <w:sz w:val="28"/>
          <w:szCs w:val="28"/>
          <w:lang w:val="en-US" w:bidi="ar-SA" w:eastAsia="zh-CN"/>
        </w:rPr>
        <w:t>6.</w:t>
      </w:r>
      <w:r>
        <w:rPr>
          <w:rFonts w:ascii="仿宋" w:eastAsia="仿宋" w:hAnsi="仿宋" w:hint="eastAsia"/>
          <w:sz w:val="28"/>
          <w:szCs w:val="28"/>
        </w:rPr>
        <w:t>毕业学生不用写在申请表上，若项目负责人已毕业，则选一名队员代为申请。</w:t>
      </w:r>
    </w:p>
    <w:p w14:paraId="5755EB09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 w:hint="eastAsia"/>
          <w:sz w:val="28"/>
          <w:szCs w:val="28"/>
        </w:rPr>
      </w:pPr>
      <w:r>
        <w:rPr>
          <w:rFonts w:ascii="仿宋" w:cs="宋体" w:eastAsia="仿宋" w:hAnsi="仿宋" w:hint="default"/>
          <w:kern w:val="2"/>
          <w:sz w:val="28"/>
          <w:szCs w:val="28"/>
          <w:lang w:val="en-US" w:bidi="ar-SA" w:eastAsia="zh-CN"/>
        </w:rPr>
        <w:t>7.</w:t>
      </w:r>
      <w:r>
        <w:rPr>
          <w:rFonts w:ascii="仿宋" w:eastAsia="仿宋" w:hAnsi="仿宋" w:hint="eastAsia"/>
          <w:sz w:val="28"/>
          <w:szCs w:val="28"/>
        </w:rPr>
        <w:t>成员有违纪处分，宿舍卫生星级限制，挂科的</w:t>
      </w:r>
      <w:r>
        <w:rPr>
          <w:rFonts w:ascii="仿宋" w:eastAsia="仿宋" w:hAnsi="仿宋" w:hint="eastAsia"/>
          <w:sz w:val="28"/>
          <w:szCs w:val="28"/>
          <w:lang w:val="en-US" w:eastAsia="zh-CN"/>
        </w:rPr>
        <w:t>不可申请奖学金，团队内非挂科成员可申请。</w:t>
      </w:r>
    </w:p>
    <w:p w14:paraId="5BC52F26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 w:hint="eastAsia"/>
          <w:sz w:val="28"/>
          <w:szCs w:val="28"/>
        </w:rPr>
      </w:pPr>
      <w:r>
        <w:rPr>
          <w:rFonts w:ascii="仿宋" w:cs="宋体" w:eastAsia="仿宋" w:hAnsi="仿宋" w:hint="default"/>
          <w:kern w:val="2"/>
          <w:sz w:val="28"/>
          <w:szCs w:val="28"/>
          <w:lang w:val="en-US" w:bidi="ar-SA" w:eastAsia="zh-CN"/>
        </w:rPr>
        <w:t>8.</w:t>
      </w:r>
      <w:r>
        <w:rPr>
          <w:rFonts w:ascii="仿宋" w:eastAsia="仿宋" w:hAnsi="仿宋" w:hint="eastAsia"/>
          <w:sz w:val="28"/>
          <w:szCs w:val="28"/>
        </w:rPr>
        <w:t>附件汇总时先写团队赛，再写个人赛；团队赛中先写A类竞赛，再写B类竞赛。</w:t>
      </w:r>
    </w:p>
    <w:p w14:paraId="38377D90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 w:hint="eastAsia"/>
          <w:sz w:val="28"/>
          <w:szCs w:val="28"/>
        </w:rPr>
      </w:pPr>
      <w:r>
        <w:rPr>
          <w:rFonts w:ascii="仿宋" w:cs="宋体" w:eastAsia="仿宋" w:hAnsi="仿宋" w:hint="default"/>
          <w:kern w:val="2"/>
          <w:sz w:val="28"/>
          <w:szCs w:val="28"/>
          <w:lang w:val="en-US" w:bidi="ar-SA" w:eastAsia="zh-CN"/>
        </w:rPr>
        <w:t>9.</w:t>
      </w:r>
      <w:r>
        <w:rPr>
          <w:rFonts w:ascii="仿宋" w:eastAsia="仿宋" w:hAnsi="仿宋" w:hint="eastAsia"/>
          <w:sz w:val="28"/>
          <w:szCs w:val="28"/>
        </w:rPr>
        <w:t>核对附件5上的证书时间与原件一致，相关信息与附件4保持一致。</w:t>
      </w:r>
    </w:p>
    <w:p w14:paraId="7E0A6F28">
      <w:pPr>
        <w:pStyle w:val="style179"/>
        <w:numPr>
          <w:ilvl w:val="0"/>
          <w:numId w:val="0"/>
        </w:numPr>
        <w:spacing w:lineRule="auto" w:line="360"/>
        <w:ind w:left="342" w:leftChars="0" w:hanging="342" w:firstLineChars="0"/>
        <w:rPr>
          <w:rFonts w:ascii="仿宋" w:eastAsia="仿宋" w:hAnsi="仿宋" w:hint="default"/>
          <w:sz w:val="28"/>
          <w:szCs w:val="28"/>
          <w:lang w:val="en-US" w:eastAsia="zh-CN"/>
        </w:rPr>
      </w:pPr>
      <w:r>
        <w:rPr>
          <w:rFonts w:ascii="仿宋" w:eastAsia="仿宋" w:hAnsi="仿宋" w:hint="eastAsia"/>
          <w:sz w:val="28"/>
          <w:szCs w:val="28"/>
          <w:lang w:val="en-US" w:eastAsia="zh-CN"/>
        </w:rPr>
        <w:t>1</w:t>
      </w:r>
      <w:r>
        <w:rPr>
          <w:rFonts w:ascii="仿宋" w:eastAsia="仿宋" w:hAnsi="仿宋" w:hint="default"/>
          <w:sz w:val="28"/>
          <w:szCs w:val="28"/>
          <w:lang w:val="en-US" w:eastAsia="zh-CN"/>
        </w:rPr>
        <w:t>0</w:t>
      </w:r>
      <w:r>
        <w:rPr>
          <w:rFonts w:ascii="仿宋" w:eastAsia="仿宋" w:hAnsi="仿宋" w:hint="eastAsia"/>
          <w:sz w:val="28"/>
          <w:szCs w:val="28"/>
          <w:lang w:val="en-US" w:eastAsia="zh-CN"/>
        </w:rPr>
        <w:t>.申报表需要自己选择表头的团队/个人选项，例如以团队申请，括号内只留“团队”，删去“个人”</w:t>
      </w:r>
    </w:p>
    <w:p w14:paraId="3508F226">
      <w:pPr>
        <w:pStyle w:val="style0"/>
        <w:spacing w:lineRule="auto" w:line="3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  <w:lang w:val="en-US" w:eastAsia="zh-CN"/>
        </w:rPr>
        <w:t>二</w:t>
      </w:r>
      <w:r>
        <w:rPr>
          <w:rFonts w:ascii="仿宋" w:eastAsia="仿宋" w:hAnsi="仿宋" w:hint="eastAsia"/>
          <w:sz w:val="28"/>
          <w:szCs w:val="28"/>
        </w:rPr>
        <w:t>．其他注意事项</w:t>
      </w:r>
      <w:bookmarkStart w:id="0" w:name="_GoBack"/>
      <w:bookmarkEnd w:id="0"/>
    </w:p>
    <w:p w14:paraId="561B5287">
      <w:pPr>
        <w:pStyle w:val="style0"/>
        <w:spacing w:lineRule="auto" w:line="3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1.今年“西门子杯”</w:t>
      </w:r>
      <w:r>
        <w:rPr>
          <w:rFonts w:ascii="仿宋" w:eastAsia="仿宋" w:hAnsi="仿宋" w:hint="eastAsia"/>
          <w:sz w:val="28"/>
          <w:szCs w:val="28"/>
          <w:lang w:val="en-US" w:eastAsia="zh-CN"/>
        </w:rPr>
        <w:t>和“全国大学生机器人大赛（CURC）”</w:t>
      </w:r>
      <w:r>
        <w:rPr>
          <w:rFonts w:ascii="仿宋" w:eastAsia="仿宋" w:hAnsi="仿宋" w:hint="eastAsia"/>
          <w:sz w:val="28"/>
          <w:szCs w:val="28"/>
        </w:rPr>
        <w:t>以团队赛申报。</w:t>
      </w:r>
    </w:p>
    <w:p w14:paraId="2F55C08B">
      <w:pPr>
        <w:pStyle w:val="style0"/>
        <w:spacing w:lineRule="auto" w:line="360"/>
        <w:rPr>
          <w:rFonts w:ascii="仿宋" w:eastAsia="仿宋" w:hAnsi="仿宋" w:hint="default"/>
          <w:sz w:val="28"/>
          <w:szCs w:val="28"/>
          <w:lang w:val="en-US" w:eastAsia="zh-CN"/>
        </w:rPr>
      </w:pPr>
      <w:r>
        <w:rPr>
          <w:rFonts w:ascii="仿宋" w:eastAsia="仿宋" w:hAnsi="仿宋" w:hint="eastAsia"/>
          <w:sz w:val="28"/>
          <w:szCs w:val="28"/>
          <w:lang w:val="en-US" w:eastAsia="zh-CN"/>
        </w:rPr>
        <w:t>2.</w:t>
      </w:r>
      <w:r>
        <w:rPr>
          <w:rFonts w:ascii="仿宋" w:eastAsia="仿宋" w:hAnsi="仿宋" w:hint="eastAsia"/>
          <w:sz w:val="28"/>
          <w:szCs w:val="28"/>
        </w:rPr>
        <w:t>大广赛国家优秀奖不予表彰。</w:t>
      </w:r>
    </w:p>
    <w:p w14:paraId="2CBC9099">
      <w:pPr>
        <w:pStyle w:val="style0"/>
        <w:spacing w:lineRule="auto" w:line="3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  <w:lang w:val="en-US" w:eastAsia="zh-CN"/>
        </w:rPr>
        <w:t>3</w:t>
      </w:r>
      <w:r>
        <w:rPr>
          <w:rFonts w:ascii="仿宋" w:eastAsia="仿宋" w:hAnsi="仿宋" w:hint="eastAsia"/>
          <w:sz w:val="28"/>
          <w:szCs w:val="28"/>
        </w:rPr>
        <w:t>.跨校项目中，如果河北大学学生数量占多，且负责人为河北大学学生，且表彰院校为河北大学，可以申请奖学金</w:t>
      </w:r>
      <w:r>
        <w:rPr>
          <w:rFonts w:ascii="仿宋" w:eastAsia="仿宋" w:hAnsi="仿宋" w:hint="eastAsia"/>
          <w:sz w:val="28"/>
          <w:szCs w:val="28"/>
          <w:lang w:eastAsia="zh-CN"/>
        </w:rPr>
        <w:t>；</w:t>
      </w:r>
      <w:r>
        <w:rPr>
          <w:rFonts w:ascii="仿宋" w:eastAsia="仿宋" w:hAnsi="仿宋" w:hint="eastAsia"/>
          <w:sz w:val="28"/>
          <w:szCs w:val="28"/>
          <w:lang w:val="en-US" w:eastAsia="zh-CN"/>
        </w:rPr>
        <w:t>河北大学学生参与其他学校的竞赛项目获奖，但负责人不是河北大学学生的，不可申请奖学金。</w:t>
      </w:r>
    </w:p>
    <w:p w14:paraId="79EE31F9">
      <w:pPr>
        <w:pStyle w:val="style0"/>
        <w:spacing w:lineRule="auto" w:line="3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  <w:lang w:val="en-US" w:eastAsia="zh-CN"/>
        </w:rPr>
        <w:t>4</w:t>
      </w:r>
      <w:r>
        <w:rPr>
          <w:rFonts w:ascii="仿宋" w:eastAsia="仿宋" w:hAnsi="仿宋" w:hint="eastAsia"/>
          <w:sz w:val="28"/>
          <w:szCs w:val="28"/>
        </w:rPr>
        <w:t>.负责人申报所用银行卡为入学办理的工商银行的银行卡，如果没有，需填写其他银行卡的银联号与开户行。</w:t>
      </w:r>
    </w:p>
    <w:p w14:paraId="5239FF6C">
      <w:pPr>
        <w:pStyle w:val="style0"/>
        <w:spacing w:lineRule="auto" w:line="360"/>
        <w:rPr>
          <w:rFonts w:ascii="仿宋" w:eastAsia="仿宋" w:hAnsi="仿宋" w:hint="eastAsia"/>
          <w:sz w:val="28"/>
          <w:szCs w:val="28"/>
          <w:lang w:val="en-US" w:eastAsia="zh-CN"/>
        </w:rPr>
      </w:pPr>
      <w:r>
        <w:rPr>
          <w:rFonts w:ascii="仿宋" w:eastAsia="仿宋" w:hAnsi="仿宋" w:hint="eastAsia"/>
          <w:sz w:val="28"/>
          <w:szCs w:val="28"/>
          <w:lang w:val="en-US" w:eastAsia="zh-CN"/>
        </w:rPr>
        <w:t>5.单项奖学金仅限本科生申请，研究生不能申请。</w:t>
      </w:r>
    </w:p>
    <w:p w14:paraId="0CCBD478">
      <w:pPr>
        <w:pStyle w:val="style0"/>
        <w:spacing w:lineRule="auto" w:line="360"/>
        <w:rPr>
          <w:rFonts w:ascii="仿宋" w:eastAsia="仿宋" w:hAnsi="仿宋" w:hint="default"/>
          <w:sz w:val="28"/>
          <w:szCs w:val="28"/>
          <w:lang w:val="en-US" w:eastAsia="zh-CN"/>
        </w:rPr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  <w:font w:name="等线 Light">
    <w:altName w:val="等线 Light"/>
    <w:panose1 w:val="02010600030001010101"/>
    <w:charset w:val="86"/>
    <w:family w:val="auto"/>
    <w:pitch w:val="default"/>
    <w:sig w:usb0="A00002BF" w:usb1="38CF7CFA" w:usb2="00000016" w:usb3="00000000" w:csb0="0004000F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D0A203C">
    <w:pPr>
      <w:pStyle w:val="style32"/>
      <w:rPr>
        <w:rFonts w:hint="eastAsia"/>
      </w:rPr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3E558AA">
    <w:pPr>
      <w:pStyle w:val="style32"/>
      <w:rPr>
        <w:rFonts w:hint="eastAsia"/>
      </w:rPr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F595277">
    <w:pPr>
      <w:pStyle w:val="style31"/>
      <w:rPr>
        <w:rFonts w:hint="eastAsia"/>
      </w:rPr>
    </w:pPr>
    <w:r>
      <w:rPr>
        <w:rFonts w:hint="eastAsia"/>
      </w:rPr>
      <w:drawing>
        <wp:anchor distT="0" distB="0" distL="0" distR="0" simplePos="false" relativeHeight="3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1770" cy="5282565"/>
          <wp:effectExtent l="0" t="0" r="0" b="0"/>
          <wp:wrapNone/>
          <wp:docPr id="4097" name="Image1"/>
          <wp:cNvGraphicFramePr>
            <a:graphicFrameLocks xmlns:a="http://schemas.openxmlformats.org/drawingml/2006/main" noChangeAspect="tru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5271770" cy="5282565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F9E1BEC">
    <w:pPr>
      <w:pStyle w:val="style31"/>
      <w:rPr>
        <w:rFonts w:hint="eastAsia"/>
      </w:rPr>
    </w:pPr>
    <w:r>
      <w:rPr>
        <w:rFonts w:hint="eastAsia"/>
      </w:rPr>
      <w:drawing>
        <wp:anchor distT="0" distB="0" distL="0" distR="0" simplePos="false" relativeHeight="4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1770" cy="5282565"/>
          <wp:effectExtent l="0" t="0" r="0" b="0"/>
          <wp:wrapNone/>
          <wp:docPr id="4098" name="Image1"/>
          <wp:cNvGraphicFramePr>
            <a:graphicFrameLocks xmlns:a="http://schemas.openxmlformats.org/drawingml/2006/main" noChangeAspect="tru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5271770" cy="5282565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49C599A">
    <w:pPr>
      <w:pStyle w:val="style31"/>
      <w:rPr>
        <w:rFonts w:hint="eastAsia"/>
      </w:rPr>
    </w:pPr>
    <w:r>
      <w:rPr>
        <w:rFonts w:hint="eastAsia"/>
      </w:rPr>
      <w:drawing>
        <wp:anchor distT="0" distB="0" distL="0" distR="0" simplePos="false" relativeHeight="2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1770" cy="5282565"/>
          <wp:effectExtent l="0" t="0" r="0" b="0"/>
          <wp:wrapNone/>
          <wp:docPr id="4099" name="Image1"/>
          <wp:cNvGraphicFramePr>
            <a:graphicFrameLocks xmlns:a="http://schemas.openxmlformats.org/drawingml/2006/main" noChangeAspect="tru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5271770" cy="5282565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80"/>
      <w:outlineLvl w:val="0"/>
    </w:pPr>
    <w:rPr>
      <w:rFonts w:ascii="等线 Light" w:cs="宋体" w:eastAsia="等线 Light" w:hAnsi="等线 Light"/>
      <w:color w:val="104862"/>
      <w:sz w:val="48"/>
      <w:szCs w:val="4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等线 Light" w:cs="宋体" w:eastAsia="等线 Light" w:hAnsi="等线 Light"/>
      <w:color w:val="104862"/>
      <w:sz w:val="40"/>
      <w:szCs w:val="40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ascii="等线 Light" w:cs="宋体" w:eastAsia="等线 Light" w:hAnsi="等线 Light"/>
      <w:color w:val="104862"/>
      <w:sz w:val="32"/>
      <w:szCs w:val="32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/>
      <w:color w:val="104862"/>
      <w:sz w:val="28"/>
      <w:szCs w:val="28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/>
      <w:color w:val="104862"/>
      <w:sz w:val="24"/>
      <w:szCs w:val="24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/>
      <w:outlineLvl w:val="5"/>
    </w:pPr>
    <w:rPr>
      <w:rFonts w:cs="宋体"/>
      <w:b/>
      <w:bCs/>
      <w:color w:val="104862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/>
      <w:outlineLvl w:val="6"/>
    </w:pPr>
    <w:rPr>
      <w:rFonts w:cs="宋体"/>
      <w:b/>
      <w:bCs/>
      <w:color w:val="595959"/>
      <w14:textFill>
        <w14:solidFill>
          <w14:srgbClr w14:val="595959"/>
        </w14:solidFill>
      </w14:textFill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outlineLvl w:val="7"/>
    </w:pPr>
    <w:rPr>
      <w:rFonts w:cs="宋体"/>
      <w:color w:val="595959"/>
      <w14:textFill>
        <w14:solidFill>
          <w14:srgbClr w14:val="595959"/>
        </w14:solidFill>
      </w14:textFill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outlineLvl w:val="8"/>
    </w:pPr>
    <w:rPr>
      <w:rFonts w:cs="宋体" w:eastAsia="等线 Light"/>
      <w:color w:val="595959"/>
      <w14:textFill>
        <w14:solidFill>
          <w14:srgbClr w14:val="595959"/>
        </w14:solidFill>
      </w14:textFill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113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112"/>
    <w:qFormat/>
    <w:uiPriority w:val="99"/>
    <w:pP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styleId="style74">
    <w:name w:val="Subtitle"/>
    <w:basedOn w:val="style0"/>
    <w:next w:val="style0"/>
    <w:link w:val="style4107"/>
    <w:qFormat/>
    <w:uiPriority w:val="11"/>
    <w:pPr>
      <w:spacing w:after="160"/>
      <w:jc w:val="center"/>
    </w:pPr>
    <w:rPr>
      <w:rFonts w:ascii="等线 Light" w:cs="宋体" w:eastAsia="等线 Light" w:hAnsi="等线 Light"/>
      <w:color w:val="595959"/>
      <w:spacing w:val="15"/>
      <w:sz w:val="28"/>
      <w:szCs w:val="28"/>
      <w14:textFill>
        <w14:solidFill>
          <w14:srgbClr w14:val="595959"/>
        </w14:solidFill>
      </w14:textFill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/>
      <w:jc w:val="center"/>
      <w:contextualSpacing/>
    </w:pPr>
    <w:rPr>
      <w:rFonts w:ascii="等线 Light" w:cs="宋体" w:eastAsia="等线 Light" w:hAnsi="等线 Light"/>
      <w:spacing w:val="-10"/>
      <w:kern w:val="28"/>
      <w:sz w:val="56"/>
      <w:szCs w:val="56"/>
    </w:rPr>
  </w:style>
  <w:style w:type="character" w:customStyle="1" w:styleId="style4097">
    <w:name w:val="标题 1 字符"/>
    <w:basedOn w:val="style65"/>
    <w:next w:val="style4097"/>
    <w:link w:val="style1"/>
    <w:qFormat/>
    <w:uiPriority w:val="9"/>
    <w:rPr>
      <w:rFonts w:ascii="等线 Light" w:cs="宋体" w:eastAsia="等线 Light" w:hAnsi="等线 Light"/>
      <w:color w:val="104862"/>
      <w:sz w:val="48"/>
      <w:szCs w:val="48"/>
    </w:rPr>
  </w:style>
  <w:style w:type="character" w:customStyle="1" w:styleId="style4098">
    <w:name w:val="标题 2 字符"/>
    <w:basedOn w:val="style65"/>
    <w:next w:val="style4098"/>
    <w:link w:val="style2"/>
    <w:qFormat/>
    <w:uiPriority w:val="9"/>
    <w:rPr>
      <w:rFonts w:ascii="等线 Light" w:cs="宋体" w:eastAsia="等线 Light" w:hAnsi="等线 Light"/>
      <w:color w:val="104862"/>
      <w:sz w:val="40"/>
      <w:szCs w:val="40"/>
    </w:rPr>
  </w:style>
  <w:style w:type="character" w:customStyle="1" w:styleId="style4099">
    <w:name w:val="标题 3 字符"/>
    <w:basedOn w:val="style65"/>
    <w:next w:val="style4099"/>
    <w:link w:val="style3"/>
    <w:qFormat/>
    <w:uiPriority w:val="9"/>
    <w:rPr>
      <w:rFonts w:ascii="等线 Light" w:cs="宋体" w:eastAsia="等线 Light" w:hAnsi="等线 Light"/>
      <w:color w:val="104862"/>
      <w:sz w:val="32"/>
      <w:szCs w:val="32"/>
    </w:rPr>
  </w:style>
  <w:style w:type="character" w:customStyle="1" w:styleId="style4100">
    <w:name w:val="标题 4 字符"/>
    <w:basedOn w:val="style65"/>
    <w:next w:val="style4100"/>
    <w:link w:val="style4"/>
    <w:qFormat/>
    <w:uiPriority w:val="9"/>
    <w:rPr>
      <w:rFonts w:cs="宋体"/>
      <w:color w:val="104862"/>
      <w:sz w:val="28"/>
      <w:szCs w:val="28"/>
    </w:rPr>
  </w:style>
  <w:style w:type="character" w:customStyle="1" w:styleId="style4101">
    <w:name w:val="标题 5 字符"/>
    <w:basedOn w:val="style65"/>
    <w:next w:val="style4101"/>
    <w:link w:val="style5"/>
    <w:qFormat/>
    <w:uiPriority w:val="9"/>
    <w:rPr>
      <w:rFonts w:cs="宋体"/>
      <w:color w:val="104862"/>
      <w:sz w:val="24"/>
      <w:szCs w:val="24"/>
    </w:rPr>
  </w:style>
  <w:style w:type="character" w:customStyle="1" w:styleId="style4102">
    <w:name w:val="标题 6 字符"/>
    <w:basedOn w:val="style65"/>
    <w:next w:val="style4102"/>
    <w:link w:val="style6"/>
    <w:qFormat/>
    <w:uiPriority w:val="9"/>
    <w:rPr>
      <w:rFonts w:cs="宋体"/>
      <w:b/>
      <w:bCs/>
      <w:color w:val="104862"/>
    </w:rPr>
  </w:style>
  <w:style w:type="character" w:customStyle="1" w:styleId="style4103">
    <w:name w:val="标题 7 字符"/>
    <w:basedOn w:val="style65"/>
    <w:next w:val="style4103"/>
    <w:link w:val="style7"/>
    <w:qFormat/>
    <w:uiPriority w:val="9"/>
    <w:rPr>
      <w:rFonts w:cs="宋体"/>
      <w:b/>
      <w:bCs/>
      <w:color w:val="595959"/>
      <w14:textFill>
        <w14:solidFill>
          <w14:srgbClr w14:val="595959"/>
        </w14:solidFill>
      </w14:textFill>
    </w:rPr>
  </w:style>
  <w:style w:type="character" w:customStyle="1" w:styleId="style4104">
    <w:name w:val="标题 8 字符"/>
    <w:basedOn w:val="style65"/>
    <w:next w:val="style4104"/>
    <w:link w:val="style8"/>
    <w:qFormat/>
    <w:uiPriority w:val="9"/>
    <w:rPr>
      <w:rFonts w:cs="宋体"/>
      <w:color w:val="595959"/>
      <w14:textFill>
        <w14:solidFill>
          <w14:srgbClr w14:val="595959"/>
        </w14:solidFill>
      </w14:textFill>
    </w:rPr>
  </w:style>
  <w:style w:type="character" w:customStyle="1" w:styleId="style4105">
    <w:name w:val="标题 9 字符"/>
    <w:basedOn w:val="style65"/>
    <w:next w:val="style4105"/>
    <w:link w:val="style9"/>
    <w:qFormat/>
    <w:uiPriority w:val="9"/>
    <w:rPr>
      <w:rFonts w:cs="宋体" w:eastAsia="等线 Light"/>
      <w:color w:val="595959"/>
      <w14:textFill>
        <w14:solidFill>
          <w14:srgbClr w14:val="595959"/>
        </w14:solidFill>
      </w14:textFill>
    </w:rPr>
  </w:style>
  <w:style w:type="character" w:customStyle="1" w:styleId="style4106">
    <w:name w:val="标题 字符"/>
    <w:basedOn w:val="style65"/>
    <w:next w:val="style4106"/>
    <w:link w:val="style62"/>
    <w:qFormat/>
    <w:uiPriority w:val="10"/>
    <w:rPr>
      <w:rFonts w:ascii="等线 Light" w:cs="宋体" w:eastAsia="等线 Light" w:hAnsi="等线 Light"/>
      <w:spacing w:val="-10"/>
      <w:kern w:val="28"/>
      <w:sz w:val="56"/>
      <w:szCs w:val="56"/>
    </w:rPr>
  </w:style>
  <w:style w:type="character" w:customStyle="1" w:styleId="style4107">
    <w:name w:val="副标题 字符"/>
    <w:basedOn w:val="style65"/>
    <w:next w:val="style4107"/>
    <w:link w:val="style74"/>
    <w:qFormat/>
    <w:uiPriority w:val="11"/>
    <w:rPr>
      <w:rFonts w:ascii="等线 Light" w:cs="宋体" w:eastAsia="等线 Light" w:hAnsi="等线 Light"/>
      <w:color w:val="595959"/>
      <w:spacing w:val="15"/>
      <w:sz w:val="28"/>
      <w:szCs w:val="28"/>
      <w14:textFill>
        <w14:solidFill>
          <w14:srgbClr w14:val="595959"/>
        </w14:solidFill>
      </w14:textFill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 w:after="160"/>
      <w:jc w:val="center"/>
    </w:pPr>
    <w:rPr>
      <w:i/>
      <w:iCs/>
      <w:color w:val="404040"/>
      <w14:textFill>
        <w14:solidFill>
          <w14:srgbClr w14:val="3f3f3f"/>
        </w14:solidFill>
      </w14:textFill>
    </w:rPr>
  </w:style>
  <w:style w:type="character" w:customStyle="1" w:styleId="style4108">
    <w:name w:val="引用 字符"/>
    <w:basedOn w:val="style65"/>
    <w:next w:val="style4108"/>
    <w:link w:val="style180"/>
    <w:qFormat/>
    <w:uiPriority w:val="29"/>
    <w:rPr>
      <w:i/>
      <w:iCs/>
      <w:color w:val="404040"/>
      <w14:textFill>
        <w14:solidFill>
          <w14:srgbClr w14:val="3f3f3f"/>
        </w14:solidFill>
      </w14:textFill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109">
    <w:name w:val="Intense Emphasis_4cfb64e2-eafd-40e9-b2f7-35b3a2052a75"/>
    <w:basedOn w:val="style65"/>
    <w:next w:val="style4109"/>
    <w:qFormat/>
    <w:uiPriority w:val="21"/>
    <w:rPr>
      <w:i/>
      <w:iCs/>
      <w:color w:val="104862"/>
    </w:rPr>
  </w:style>
  <w:style w:type="paragraph" w:styleId="style181">
    <w:name w:val="Intense Quote"/>
    <w:basedOn w:val="style0"/>
    <w:next w:val="style0"/>
    <w:link w:val="style4110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104862"/>
    </w:rPr>
  </w:style>
  <w:style w:type="character" w:customStyle="1" w:styleId="style4110">
    <w:name w:val="明显引用 字符"/>
    <w:basedOn w:val="style65"/>
    <w:next w:val="style4110"/>
    <w:link w:val="style181"/>
    <w:qFormat/>
    <w:uiPriority w:val="30"/>
    <w:rPr>
      <w:i/>
      <w:iCs/>
      <w:color w:val="104862"/>
    </w:rPr>
  </w:style>
  <w:style w:type="character" w:customStyle="1" w:styleId="style4111">
    <w:name w:val="Intense Reference_3b258d9c-5aec-4fb8-b4dd-0cef25b80f36"/>
    <w:basedOn w:val="style65"/>
    <w:next w:val="style4111"/>
    <w:qFormat/>
    <w:uiPriority w:val="32"/>
    <w:rPr>
      <w:b/>
      <w:bCs/>
      <w:smallCaps/>
      <w:color w:val="104862"/>
      <w:spacing w:val="5"/>
    </w:rPr>
  </w:style>
  <w:style w:type="character" w:customStyle="1" w:styleId="style4112">
    <w:name w:val="页眉 字符"/>
    <w:basedOn w:val="style65"/>
    <w:next w:val="style4112"/>
    <w:link w:val="style31"/>
    <w:qFormat/>
    <w:uiPriority w:val="99"/>
    <w:rPr>
      <w:sz w:val="18"/>
      <w:szCs w:val="18"/>
    </w:rPr>
  </w:style>
  <w:style w:type="character" w:customStyle="1" w:styleId="style4113">
    <w:name w:val="页脚 字符"/>
    <w:basedOn w:val="style65"/>
    <w:next w:val="style4113"/>
    <w:link w:val="style32"/>
    <w:qFormat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545</Words>
  <Pages>2</Pages>
  <Characters>574</Characters>
  <Application>WPS Office</Application>
  <DocSecurity>0</DocSecurity>
  <Paragraphs>31</Paragraphs>
  <ScaleCrop>false</ScaleCrop>
  <LinksUpToDate>false</LinksUpToDate>
  <CharactersWithSpaces>574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2025-10-24T15:27:00Z</dcterms:created>
  <dc:creator>佳劭 谢</dc:creator>
  <lastModifiedBy>HBN-AL80</lastModifiedBy>
  <dcterms:modified xsi:type="dcterms:W3CDTF">2026-10-13T08:19:23Z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eyJoZGlkIjoiYWFiZjkwOTljMjdlZWRiOTJmMTYwMDE4YmUzNGRkNGMiLCJ1c2VySWQiOiIxMjU5NDM0OTkwIn0=</vt:lpwstr>
  </property>
  <property fmtid="{D5CDD505-2E9C-101B-9397-08002B2CF9AE}" pid="3" name="KSOProductBuildVer">
    <vt:lpwstr>2052-12.1.0.28505</vt:lpwstr>
  </property>
  <property fmtid="{D5CDD505-2E9C-101B-9397-08002B2CF9AE}" pid="4" name="ICV">
    <vt:lpwstr>d1dd9754465e46e2b2822142dd56e142_23</vt:lpwstr>
  </property>
</Properties>
</file>